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inorEastAsia" w:hAnsiTheme="minorEastAsia"/>
          <w:b/>
          <w:sz w:val="84"/>
          <w:szCs w:val="84"/>
        </w:rPr>
      </w:pPr>
    </w:p>
    <w:p>
      <w:pPr>
        <w:jc w:val="center"/>
        <w:rPr>
          <w:rFonts w:asciiTheme="minorEastAsia" w:hAnsiTheme="minorEastAsia"/>
          <w:b/>
          <w:sz w:val="84"/>
          <w:szCs w:val="84"/>
        </w:rPr>
      </w:pPr>
    </w:p>
    <w:p>
      <w:pPr>
        <w:jc w:val="center"/>
        <w:rPr>
          <w:rFonts w:ascii="微软雅黑" w:hAnsi="微软雅黑" w:eastAsia="微软雅黑"/>
          <w:b w:val="0"/>
          <w:bCs/>
          <w:sz w:val="72"/>
          <w:szCs w:val="72"/>
        </w:rPr>
      </w:pPr>
      <w:r>
        <w:rPr>
          <w:rFonts w:hint="eastAsia" w:ascii="微软雅黑" w:hAnsi="微软雅黑" w:eastAsia="微软雅黑"/>
          <w:b w:val="0"/>
          <w:bCs/>
          <w:sz w:val="72"/>
          <w:szCs w:val="72"/>
        </w:rPr>
        <w:t>广东省再生资源回收目录和回收路径指引</w:t>
      </w:r>
    </w:p>
    <w:p>
      <w:pPr>
        <w:jc w:val="center"/>
        <w:rPr>
          <w:rFonts w:hint="eastAsia" w:asciiTheme="minorEastAsia" w:hAnsiTheme="minorEastAsia" w:eastAsiaTheme="minorEastAsia"/>
          <w:b/>
          <w:sz w:val="44"/>
          <w:szCs w:val="44"/>
          <w:lang w:eastAsia="zh-CN"/>
        </w:rPr>
      </w:pPr>
      <w:r>
        <w:rPr>
          <w:rFonts w:hint="eastAsia" w:asciiTheme="minorEastAsia" w:hAnsiTheme="minorEastAsia"/>
          <w:b/>
          <w:sz w:val="44"/>
          <w:szCs w:val="44"/>
          <w:lang w:eastAsia="zh-CN"/>
        </w:rPr>
        <w:t>（征求意见稿）</w:t>
      </w:r>
    </w:p>
    <w:p>
      <w:pPr>
        <w:jc w:val="center"/>
        <w:rPr>
          <w:rFonts w:asciiTheme="minorEastAsia" w:hAnsiTheme="minorEastAsia"/>
          <w:b/>
          <w:sz w:val="32"/>
          <w:szCs w:val="32"/>
        </w:rPr>
      </w:pPr>
    </w:p>
    <w:p>
      <w:pPr>
        <w:jc w:val="center"/>
        <w:rPr>
          <w:rFonts w:asciiTheme="minorEastAsia" w:hAnsiTheme="minorEastAsia"/>
          <w:b/>
          <w:sz w:val="32"/>
          <w:szCs w:val="32"/>
        </w:rPr>
      </w:pPr>
    </w:p>
    <w:p>
      <w:pPr>
        <w:jc w:val="center"/>
        <w:rPr>
          <w:rFonts w:asciiTheme="minorEastAsia" w:hAnsiTheme="minorEastAsia"/>
          <w:b/>
          <w:sz w:val="32"/>
          <w:szCs w:val="32"/>
        </w:rPr>
      </w:pPr>
    </w:p>
    <w:p>
      <w:pPr>
        <w:jc w:val="center"/>
        <w:rPr>
          <w:rFonts w:asciiTheme="minorEastAsia" w:hAnsiTheme="minorEastAsia"/>
          <w:b/>
          <w:sz w:val="32"/>
          <w:szCs w:val="32"/>
        </w:rPr>
      </w:pPr>
    </w:p>
    <w:p>
      <w:pPr>
        <w:jc w:val="center"/>
        <w:rPr>
          <w:rFonts w:asciiTheme="minorEastAsia" w:hAnsiTheme="minorEastAsia"/>
          <w:b/>
          <w:sz w:val="32"/>
          <w:szCs w:val="32"/>
        </w:rPr>
      </w:pPr>
    </w:p>
    <w:p>
      <w:pPr>
        <w:jc w:val="center"/>
        <w:rPr>
          <w:rFonts w:ascii="微软雅黑" w:hAnsi="微软雅黑" w:eastAsia="微软雅黑"/>
          <w:sz w:val="44"/>
          <w:szCs w:val="44"/>
        </w:rPr>
      </w:pPr>
      <w:r>
        <w:rPr>
          <w:rFonts w:hint="eastAsia" w:ascii="微软雅黑" w:hAnsi="微软雅黑" w:eastAsia="微软雅黑"/>
          <w:sz w:val="44"/>
          <w:szCs w:val="44"/>
        </w:rPr>
        <w:t>广东省商务厅</w:t>
      </w:r>
    </w:p>
    <w:p>
      <w:pPr>
        <w:jc w:val="center"/>
        <w:rPr>
          <w:rFonts w:ascii="微软雅黑" w:hAnsi="微软雅黑" w:eastAsia="微软雅黑"/>
          <w:sz w:val="44"/>
          <w:szCs w:val="44"/>
        </w:rPr>
      </w:pPr>
      <w:r>
        <w:rPr>
          <w:rFonts w:hint="eastAsia" w:ascii="微软雅黑" w:hAnsi="微软雅黑" w:eastAsia="微软雅黑"/>
          <w:sz w:val="44"/>
          <w:szCs w:val="44"/>
        </w:rPr>
        <w:t>2021年1</w:t>
      </w:r>
      <w:r>
        <w:rPr>
          <w:rFonts w:hint="eastAsia" w:ascii="微软雅黑" w:hAnsi="微软雅黑" w:eastAsia="微软雅黑"/>
          <w:sz w:val="44"/>
          <w:szCs w:val="44"/>
          <w:lang w:val="en-US" w:eastAsia="zh-CN"/>
        </w:rPr>
        <w:t>1</w:t>
      </w:r>
      <w:r>
        <w:rPr>
          <w:rFonts w:hint="eastAsia" w:ascii="微软雅黑" w:hAnsi="微软雅黑" w:eastAsia="微软雅黑"/>
          <w:sz w:val="44"/>
          <w:szCs w:val="44"/>
        </w:rPr>
        <w:t>月</w:t>
      </w:r>
    </w:p>
    <w:p>
      <w:pPr>
        <w:widowControl/>
        <w:jc w:val="left"/>
        <w:rPr>
          <w:rFonts w:asciiTheme="minorEastAsia" w:hAnsiTheme="minorEastAsia"/>
          <w:b/>
          <w:sz w:val="84"/>
          <w:szCs w:val="84"/>
        </w:rPr>
        <w:sectPr>
          <w:footerReference r:id="rId3" w:type="default"/>
          <w:pgSz w:w="11906" w:h="16838"/>
          <w:pgMar w:top="1440" w:right="1800" w:bottom="1440" w:left="1800" w:header="851" w:footer="992" w:gutter="0"/>
          <w:cols w:space="425" w:num="1"/>
          <w:docGrid w:type="lines" w:linePitch="312" w:charSpace="0"/>
        </w:sectPr>
      </w:pPr>
      <w:r>
        <w:rPr>
          <w:rFonts w:asciiTheme="minorEastAsia" w:hAnsiTheme="minorEastAsia"/>
          <w:b/>
          <w:sz w:val="84"/>
          <w:szCs w:val="84"/>
        </w:rPr>
        <w:br w:type="page"/>
      </w:r>
    </w:p>
    <w:p>
      <w:pPr>
        <w:widowControl/>
        <w:jc w:val="left"/>
        <w:rPr>
          <w:rFonts w:asciiTheme="minorEastAsia" w:hAnsiTheme="minorEastAsia"/>
          <w:b/>
          <w:sz w:val="84"/>
          <w:szCs w:val="84"/>
        </w:rPr>
      </w:pPr>
    </w:p>
    <w:sdt>
      <w:sdtPr>
        <w:rPr>
          <w:rFonts w:asciiTheme="minorHAnsi" w:hAnsiTheme="minorHAnsi" w:eastAsiaTheme="minorEastAsia" w:cstheme="minorBidi"/>
          <w:b w:val="0"/>
          <w:bCs w:val="0"/>
          <w:color w:val="auto"/>
          <w:kern w:val="2"/>
          <w:sz w:val="21"/>
          <w:szCs w:val="22"/>
          <w:lang w:val="zh-CN"/>
        </w:rPr>
        <w:id w:val="347765499"/>
        <w:docPartObj>
          <w:docPartGallery w:val="Table of Contents"/>
          <w:docPartUnique/>
        </w:docPartObj>
      </w:sdtPr>
      <w:sdtEndPr>
        <w:rPr>
          <w:rFonts w:asciiTheme="minorHAnsi" w:hAnsiTheme="minorHAnsi" w:eastAsiaTheme="minorEastAsia" w:cstheme="minorBidi"/>
          <w:b w:val="0"/>
          <w:bCs w:val="0"/>
          <w:color w:val="auto"/>
          <w:kern w:val="2"/>
          <w:sz w:val="21"/>
          <w:szCs w:val="22"/>
          <w:lang w:val="zh-CN"/>
        </w:rPr>
      </w:sdtEndPr>
      <w:sdtContent>
        <w:p>
          <w:pPr>
            <w:pStyle w:val="20"/>
            <w:spacing w:line="720" w:lineRule="auto"/>
            <w:jc w:val="center"/>
            <w:rPr>
              <w:rFonts w:ascii="微软雅黑" w:hAnsi="微软雅黑" w:eastAsia="微软雅黑"/>
              <w:b w:val="0"/>
              <w:color w:val="auto"/>
              <w:sz w:val="52"/>
              <w:szCs w:val="52"/>
            </w:rPr>
          </w:pPr>
          <w:r>
            <w:rPr>
              <w:rFonts w:ascii="微软雅黑" w:hAnsi="微软雅黑" w:eastAsia="微软雅黑"/>
              <w:b w:val="0"/>
              <w:color w:val="auto"/>
              <w:sz w:val="52"/>
              <w:szCs w:val="52"/>
              <w:lang w:val="zh-CN"/>
            </w:rPr>
            <w:t>目录</w:t>
          </w:r>
        </w:p>
        <w:p>
          <w:pPr>
            <w:pStyle w:val="7"/>
            <w:tabs>
              <w:tab w:val="right" w:leader="dot" w:pos="8296"/>
            </w:tabs>
            <w:spacing w:line="720" w:lineRule="auto"/>
            <w:rPr>
              <w:rFonts w:ascii="微软雅黑" w:hAnsi="微软雅黑" w:eastAsia="微软雅黑"/>
              <w:sz w:val="30"/>
              <w:szCs w:val="30"/>
            </w:rPr>
          </w:pPr>
          <w:r>
            <w:rPr>
              <w:rFonts w:ascii="微软雅黑" w:hAnsi="微软雅黑" w:eastAsia="微软雅黑"/>
              <w:sz w:val="30"/>
              <w:szCs w:val="30"/>
            </w:rPr>
            <w:fldChar w:fldCharType="begin"/>
          </w:r>
          <w:r>
            <w:rPr>
              <w:rFonts w:ascii="微软雅黑" w:hAnsi="微软雅黑" w:eastAsia="微软雅黑"/>
              <w:sz w:val="30"/>
              <w:szCs w:val="30"/>
            </w:rPr>
            <w:instrText xml:space="preserve"> TOC \o "1-3" \h \z \u </w:instrText>
          </w:r>
          <w:r>
            <w:rPr>
              <w:rFonts w:ascii="微软雅黑" w:hAnsi="微软雅黑" w:eastAsia="微软雅黑"/>
              <w:sz w:val="30"/>
              <w:szCs w:val="30"/>
            </w:rPr>
            <w:fldChar w:fldCharType="separate"/>
          </w:r>
          <w:r>
            <w:fldChar w:fldCharType="begin"/>
          </w:r>
          <w:r>
            <w:instrText xml:space="preserve"> HYPERLINK \l "_Toc85182903" </w:instrText>
          </w:r>
          <w:r>
            <w:fldChar w:fldCharType="separate"/>
          </w:r>
          <w:r>
            <w:rPr>
              <w:rStyle w:val="13"/>
              <w:rFonts w:hint="eastAsia" w:ascii="微软雅黑" w:hAnsi="微软雅黑" w:eastAsia="微软雅黑" w:cs="仿宋_GB2312"/>
              <w:sz w:val="30"/>
              <w:szCs w:val="30"/>
            </w:rPr>
            <w:t>一、再生资源回收目录</w:t>
          </w:r>
          <w:r>
            <w:rPr>
              <w:rFonts w:ascii="微软雅黑" w:hAnsi="微软雅黑" w:eastAsia="微软雅黑"/>
              <w:sz w:val="30"/>
              <w:szCs w:val="30"/>
            </w:rPr>
            <w:tab/>
          </w:r>
          <w:r>
            <w:rPr>
              <w:rFonts w:ascii="微软雅黑" w:hAnsi="微软雅黑" w:eastAsia="微软雅黑"/>
              <w:sz w:val="30"/>
              <w:szCs w:val="30"/>
            </w:rPr>
            <w:fldChar w:fldCharType="begin"/>
          </w:r>
          <w:r>
            <w:rPr>
              <w:rFonts w:ascii="微软雅黑" w:hAnsi="微软雅黑" w:eastAsia="微软雅黑"/>
              <w:sz w:val="30"/>
              <w:szCs w:val="30"/>
            </w:rPr>
            <w:instrText xml:space="preserve"> PAGEREF _Toc85182903 \h </w:instrText>
          </w:r>
          <w:r>
            <w:rPr>
              <w:rFonts w:ascii="微软雅黑" w:hAnsi="微软雅黑" w:eastAsia="微软雅黑"/>
              <w:sz w:val="30"/>
              <w:szCs w:val="30"/>
            </w:rPr>
            <w:fldChar w:fldCharType="separate"/>
          </w:r>
          <w:r>
            <w:rPr>
              <w:rFonts w:ascii="微软雅黑" w:hAnsi="微软雅黑" w:eastAsia="微软雅黑"/>
              <w:sz w:val="30"/>
              <w:szCs w:val="30"/>
            </w:rPr>
            <w:t>3</w:t>
          </w:r>
          <w:r>
            <w:rPr>
              <w:rFonts w:ascii="微软雅黑" w:hAnsi="微软雅黑" w:eastAsia="微软雅黑"/>
              <w:sz w:val="30"/>
              <w:szCs w:val="30"/>
            </w:rPr>
            <w:fldChar w:fldCharType="end"/>
          </w:r>
          <w:r>
            <w:rPr>
              <w:rFonts w:ascii="微软雅黑" w:hAnsi="微软雅黑" w:eastAsia="微软雅黑"/>
              <w:sz w:val="30"/>
              <w:szCs w:val="30"/>
            </w:rPr>
            <w:fldChar w:fldCharType="end"/>
          </w:r>
        </w:p>
        <w:p>
          <w:pPr>
            <w:pStyle w:val="7"/>
            <w:tabs>
              <w:tab w:val="right" w:leader="dot" w:pos="8296"/>
            </w:tabs>
            <w:spacing w:line="720" w:lineRule="auto"/>
            <w:rPr>
              <w:rFonts w:ascii="微软雅黑" w:hAnsi="微软雅黑" w:eastAsia="微软雅黑"/>
              <w:sz w:val="30"/>
              <w:szCs w:val="30"/>
            </w:rPr>
          </w:pPr>
          <w:r>
            <w:fldChar w:fldCharType="begin"/>
          </w:r>
          <w:r>
            <w:instrText xml:space="preserve"> HYPERLINK \l "_Toc85182904" </w:instrText>
          </w:r>
          <w:r>
            <w:fldChar w:fldCharType="separate"/>
          </w:r>
          <w:r>
            <w:rPr>
              <w:rStyle w:val="13"/>
              <w:rFonts w:hint="eastAsia" w:ascii="微软雅黑" w:hAnsi="微软雅黑" w:eastAsia="微软雅黑" w:cs="仿宋_GB2312"/>
              <w:sz w:val="30"/>
              <w:szCs w:val="30"/>
            </w:rPr>
            <w:t>二、再生资源回收路径指引</w:t>
          </w:r>
          <w:r>
            <w:rPr>
              <w:rFonts w:ascii="微软雅黑" w:hAnsi="微软雅黑" w:eastAsia="微软雅黑"/>
              <w:sz w:val="30"/>
              <w:szCs w:val="30"/>
            </w:rPr>
            <w:tab/>
          </w:r>
          <w:r>
            <w:rPr>
              <w:rFonts w:ascii="微软雅黑" w:hAnsi="微软雅黑" w:eastAsia="微软雅黑"/>
              <w:sz w:val="30"/>
              <w:szCs w:val="30"/>
            </w:rPr>
            <w:fldChar w:fldCharType="begin"/>
          </w:r>
          <w:r>
            <w:rPr>
              <w:rFonts w:ascii="微软雅黑" w:hAnsi="微软雅黑" w:eastAsia="微软雅黑"/>
              <w:sz w:val="30"/>
              <w:szCs w:val="30"/>
            </w:rPr>
            <w:instrText xml:space="preserve"> PAGEREF _Toc85182904 \h </w:instrText>
          </w:r>
          <w:r>
            <w:rPr>
              <w:rFonts w:ascii="微软雅黑" w:hAnsi="微软雅黑" w:eastAsia="微软雅黑"/>
              <w:sz w:val="30"/>
              <w:szCs w:val="30"/>
            </w:rPr>
            <w:fldChar w:fldCharType="separate"/>
          </w:r>
          <w:r>
            <w:rPr>
              <w:rFonts w:ascii="微软雅黑" w:hAnsi="微软雅黑" w:eastAsia="微软雅黑"/>
              <w:sz w:val="30"/>
              <w:szCs w:val="30"/>
            </w:rPr>
            <w:t>5</w:t>
          </w:r>
          <w:r>
            <w:rPr>
              <w:rFonts w:ascii="微软雅黑" w:hAnsi="微软雅黑" w:eastAsia="微软雅黑"/>
              <w:sz w:val="30"/>
              <w:szCs w:val="30"/>
            </w:rPr>
            <w:fldChar w:fldCharType="end"/>
          </w:r>
          <w:r>
            <w:rPr>
              <w:rFonts w:ascii="微软雅黑" w:hAnsi="微软雅黑" w:eastAsia="微软雅黑"/>
              <w:sz w:val="30"/>
              <w:szCs w:val="30"/>
            </w:rPr>
            <w:fldChar w:fldCharType="end"/>
          </w:r>
        </w:p>
        <w:p>
          <w:pPr>
            <w:pStyle w:val="8"/>
            <w:tabs>
              <w:tab w:val="right" w:leader="dot" w:pos="8296"/>
            </w:tabs>
            <w:spacing w:line="720" w:lineRule="auto"/>
            <w:rPr>
              <w:rFonts w:ascii="微软雅黑" w:hAnsi="微软雅黑" w:eastAsia="微软雅黑"/>
              <w:sz w:val="30"/>
              <w:szCs w:val="30"/>
            </w:rPr>
          </w:pPr>
          <w:r>
            <w:fldChar w:fldCharType="begin"/>
          </w:r>
          <w:r>
            <w:instrText xml:space="preserve"> HYPERLINK \l "_Toc85182905" </w:instrText>
          </w:r>
          <w:r>
            <w:fldChar w:fldCharType="separate"/>
          </w:r>
          <w:r>
            <w:rPr>
              <w:rStyle w:val="13"/>
              <w:rFonts w:ascii="微软雅黑" w:hAnsi="微软雅黑" w:eastAsia="微软雅黑" w:cs="仿宋_GB2312"/>
              <w:sz w:val="30"/>
              <w:szCs w:val="30"/>
            </w:rPr>
            <w:t>1</w:t>
          </w:r>
          <w:r>
            <w:rPr>
              <w:rStyle w:val="13"/>
              <w:rFonts w:hint="eastAsia" w:ascii="微软雅黑" w:hAnsi="微软雅黑" w:eastAsia="微软雅黑" w:cs="仿宋_GB2312"/>
              <w:sz w:val="30"/>
              <w:szCs w:val="30"/>
            </w:rPr>
            <w:t>、废玻璃、废旧衣织物</w:t>
          </w:r>
          <w:r>
            <w:rPr>
              <w:rFonts w:ascii="微软雅黑" w:hAnsi="微软雅黑" w:eastAsia="微软雅黑"/>
              <w:sz w:val="30"/>
              <w:szCs w:val="30"/>
            </w:rPr>
            <w:tab/>
          </w:r>
          <w:r>
            <w:rPr>
              <w:rFonts w:ascii="微软雅黑" w:hAnsi="微软雅黑" w:eastAsia="微软雅黑"/>
              <w:sz w:val="30"/>
              <w:szCs w:val="30"/>
            </w:rPr>
            <w:fldChar w:fldCharType="begin"/>
          </w:r>
          <w:r>
            <w:rPr>
              <w:rFonts w:ascii="微软雅黑" w:hAnsi="微软雅黑" w:eastAsia="微软雅黑"/>
              <w:sz w:val="30"/>
              <w:szCs w:val="30"/>
            </w:rPr>
            <w:instrText xml:space="preserve"> PAGEREF _Toc85182905 \h </w:instrText>
          </w:r>
          <w:r>
            <w:rPr>
              <w:rFonts w:ascii="微软雅黑" w:hAnsi="微软雅黑" w:eastAsia="微软雅黑"/>
              <w:sz w:val="30"/>
              <w:szCs w:val="30"/>
            </w:rPr>
            <w:fldChar w:fldCharType="separate"/>
          </w:r>
          <w:r>
            <w:rPr>
              <w:rFonts w:ascii="微软雅黑" w:hAnsi="微软雅黑" w:eastAsia="微软雅黑"/>
              <w:sz w:val="30"/>
              <w:szCs w:val="30"/>
            </w:rPr>
            <w:t>5</w:t>
          </w:r>
          <w:r>
            <w:rPr>
              <w:rFonts w:ascii="微软雅黑" w:hAnsi="微软雅黑" w:eastAsia="微软雅黑"/>
              <w:sz w:val="30"/>
              <w:szCs w:val="30"/>
            </w:rPr>
            <w:fldChar w:fldCharType="end"/>
          </w:r>
          <w:r>
            <w:rPr>
              <w:rFonts w:ascii="微软雅黑" w:hAnsi="微软雅黑" w:eastAsia="微软雅黑"/>
              <w:sz w:val="30"/>
              <w:szCs w:val="30"/>
            </w:rPr>
            <w:fldChar w:fldCharType="end"/>
          </w:r>
        </w:p>
        <w:p>
          <w:pPr>
            <w:pStyle w:val="8"/>
            <w:tabs>
              <w:tab w:val="right" w:leader="dot" w:pos="8296"/>
            </w:tabs>
            <w:spacing w:line="720" w:lineRule="auto"/>
            <w:rPr>
              <w:rFonts w:ascii="微软雅黑" w:hAnsi="微软雅黑" w:eastAsia="微软雅黑"/>
              <w:sz w:val="30"/>
              <w:szCs w:val="30"/>
            </w:rPr>
          </w:pPr>
          <w:r>
            <w:fldChar w:fldCharType="begin"/>
          </w:r>
          <w:r>
            <w:instrText xml:space="preserve"> HYPERLINK \l "_Toc85182906" </w:instrText>
          </w:r>
          <w:r>
            <w:fldChar w:fldCharType="separate"/>
          </w:r>
          <w:r>
            <w:rPr>
              <w:rStyle w:val="13"/>
              <w:rFonts w:ascii="微软雅黑" w:hAnsi="微软雅黑" w:eastAsia="微软雅黑" w:cs="仿宋_GB2312"/>
              <w:sz w:val="30"/>
              <w:szCs w:val="30"/>
            </w:rPr>
            <w:t>2</w:t>
          </w:r>
          <w:r>
            <w:rPr>
              <w:rStyle w:val="13"/>
              <w:rFonts w:hint="eastAsia" w:ascii="微软雅黑" w:hAnsi="微软雅黑" w:eastAsia="微软雅黑" w:cs="仿宋_GB2312"/>
              <w:sz w:val="30"/>
              <w:szCs w:val="30"/>
            </w:rPr>
            <w:t>、废塑料、废纸、废橡胶</w:t>
          </w:r>
          <w:r>
            <w:rPr>
              <w:rFonts w:ascii="微软雅黑" w:hAnsi="微软雅黑" w:eastAsia="微软雅黑"/>
              <w:sz w:val="30"/>
              <w:szCs w:val="30"/>
            </w:rPr>
            <w:tab/>
          </w:r>
          <w:r>
            <w:rPr>
              <w:rFonts w:ascii="微软雅黑" w:hAnsi="微软雅黑" w:eastAsia="微软雅黑"/>
              <w:sz w:val="30"/>
              <w:szCs w:val="30"/>
            </w:rPr>
            <w:fldChar w:fldCharType="begin"/>
          </w:r>
          <w:r>
            <w:rPr>
              <w:rFonts w:ascii="微软雅黑" w:hAnsi="微软雅黑" w:eastAsia="微软雅黑"/>
              <w:sz w:val="30"/>
              <w:szCs w:val="30"/>
            </w:rPr>
            <w:instrText xml:space="preserve"> PAGEREF _Toc85182906 \h </w:instrText>
          </w:r>
          <w:r>
            <w:rPr>
              <w:rFonts w:ascii="微软雅黑" w:hAnsi="微软雅黑" w:eastAsia="微软雅黑"/>
              <w:sz w:val="30"/>
              <w:szCs w:val="30"/>
            </w:rPr>
            <w:fldChar w:fldCharType="separate"/>
          </w:r>
          <w:r>
            <w:rPr>
              <w:rFonts w:ascii="微软雅黑" w:hAnsi="微软雅黑" w:eastAsia="微软雅黑"/>
              <w:sz w:val="30"/>
              <w:szCs w:val="30"/>
            </w:rPr>
            <w:t>6</w:t>
          </w:r>
          <w:r>
            <w:rPr>
              <w:rFonts w:ascii="微软雅黑" w:hAnsi="微软雅黑" w:eastAsia="微软雅黑"/>
              <w:sz w:val="30"/>
              <w:szCs w:val="30"/>
            </w:rPr>
            <w:fldChar w:fldCharType="end"/>
          </w:r>
          <w:r>
            <w:rPr>
              <w:rFonts w:ascii="微软雅黑" w:hAnsi="微软雅黑" w:eastAsia="微软雅黑"/>
              <w:sz w:val="30"/>
              <w:szCs w:val="30"/>
            </w:rPr>
            <w:fldChar w:fldCharType="end"/>
          </w:r>
        </w:p>
        <w:p>
          <w:pPr>
            <w:pStyle w:val="8"/>
            <w:tabs>
              <w:tab w:val="right" w:leader="dot" w:pos="8296"/>
            </w:tabs>
            <w:spacing w:line="720" w:lineRule="auto"/>
            <w:rPr>
              <w:rFonts w:ascii="微软雅黑" w:hAnsi="微软雅黑" w:eastAsia="微软雅黑"/>
              <w:sz w:val="30"/>
              <w:szCs w:val="30"/>
            </w:rPr>
          </w:pPr>
          <w:r>
            <w:fldChar w:fldCharType="begin"/>
          </w:r>
          <w:r>
            <w:instrText xml:space="preserve"> HYPERLINK \l "_Toc85182907" </w:instrText>
          </w:r>
          <w:r>
            <w:fldChar w:fldCharType="separate"/>
          </w:r>
          <w:r>
            <w:rPr>
              <w:rStyle w:val="13"/>
              <w:rFonts w:ascii="微软雅黑" w:hAnsi="微软雅黑" w:eastAsia="微软雅黑" w:cs="仿宋_GB2312"/>
              <w:sz w:val="30"/>
              <w:szCs w:val="30"/>
            </w:rPr>
            <w:t>3</w:t>
          </w:r>
          <w:r>
            <w:rPr>
              <w:rStyle w:val="13"/>
              <w:rFonts w:hint="eastAsia" w:ascii="微软雅黑" w:hAnsi="微软雅黑" w:eastAsia="微软雅黑" w:cs="仿宋_GB2312"/>
              <w:sz w:val="30"/>
              <w:szCs w:val="30"/>
            </w:rPr>
            <w:t>、废旧金属</w:t>
          </w:r>
          <w:r>
            <w:rPr>
              <w:rFonts w:ascii="微软雅黑" w:hAnsi="微软雅黑" w:eastAsia="微软雅黑"/>
              <w:sz w:val="30"/>
              <w:szCs w:val="30"/>
            </w:rPr>
            <w:tab/>
          </w:r>
          <w:r>
            <w:rPr>
              <w:rFonts w:ascii="微软雅黑" w:hAnsi="微软雅黑" w:eastAsia="微软雅黑"/>
              <w:sz w:val="30"/>
              <w:szCs w:val="30"/>
            </w:rPr>
            <w:fldChar w:fldCharType="begin"/>
          </w:r>
          <w:r>
            <w:rPr>
              <w:rFonts w:ascii="微软雅黑" w:hAnsi="微软雅黑" w:eastAsia="微软雅黑"/>
              <w:sz w:val="30"/>
              <w:szCs w:val="30"/>
            </w:rPr>
            <w:instrText xml:space="preserve"> PAGEREF _Toc85182907 \h </w:instrText>
          </w:r>
          <w:r>
            <w:rPr>
              <w:rFonts w:ascii="微软雅黑" w:hAnsi="微软雅黑" w:eastAsia="微软雅黑"/>
              <w:sz w:val="30"/>
              <w:szCs w:val="30"/>
            </w:rPr>
            <w:fldChar w:fldCharType="separate"/>
          </w:r>
          <w:r>
            <w:rPr>
              <w:rFonts w:ascii="微软雅黑" w:hAnsi="微软雅黑" w:eastAsia="微软雅黑"/>
              <w:sz w:val="30"/>
              <w:szCs w:val="30"/>
            </w:rPr>
            <w:t>7</w:t>
          </w:r>
          <w:r>
            <w:rPr>
              <w:rFonts w:ascii="微软雅黑" w:hAnsi="微软雅黑" w:eastAsia="微软雅黑"/>
              <w:sz w:val="30"/>
              <w:szCs w:val="30"/>
            </w:rPr>
            <w:fldChar w:fldCharType="end"/>
          </w:r>
          <w:r>
            <w:rPr>
              <w:rFonts w:ascii="微软雅黑" w:hAnsi="微软雅黑" w:eastAsia="微软雅黑"/>
              <w:sz w:val="30"/>
              <w:szCs w:val="30"/>
            </w:rPr>
            <w:fldChar w:fldCharType="end"/>
          </w:r>
        </w:p>
        <w:p>
          <w:pPr>
            <w:pStyle w:val="8"/>
            <w:tabs>
              <w:tab w:val="right" w:leader="dot" w:pos="8296"/>
            </w:tabs>
            <w:spacing w:line="720" w:lineRule="auto"/>
            <w:rPr>
              <w:rFonts w:ascii="微软雅黑" w:hAnsi="微软雅黑" w:eastAsia="微软雅黑"/>
              <w:sz w:val="30"/>
              <w:szCs w:val="30"/>
            </w:rPr>
          </w:pPr>
          <w:r>
            <w:fldChar w:fldCharType="begin"/>
          </w:r>
          <w:r>
            <w:instrText xml:space="preserve"> HYPERLINK \l "_Toc85182908" </w:instrText>
          </w:r>
          <w:r>
            <w:fldChar w:fldCharType="separate"/>
          </w:r>
          <w:r>
            <w:rPr>
              <w:rStyle w:val="13"/>
              <w:rFonts w:ascii="微软雅黑" w:hAnsi="微软雅黑" w:eastAsia="微软雅黑" w:cs="仿宋_GB2312"/>
              <w:sz w:val="30"/>
              <w:szCs w:val="30"/>
            </w:rPr>
            <w:t>4</w:t>
          </w:r>
          <w:r>
            <w:rPr>
              <w:rStyle w:val="13"/>
              <w:rFonts w:hint="eastAsia" w:ascii="微软雅黑" w:hAnsi="微软雅黑" w:eastAsia="微软雅黑" w:cs="仿宋_GB2312"/>
              <w:sz w:val="30"/>
              <w:szCs w:val="30"/>
            </w:rPr>
            <w:t>、废弃电器电子产品</w:t>
          </w:r>
          <w:r>
            <w:rPr>
              <w:rFonts w:ascii="微软雅黑" w:hAnsi="微软雅黑" w:eastAsia="微软雅黑"/>
              <w:sz w:val="30"/>
              <w:szCs w:val="30"/>
            </w:rPr>
            <w:tab/>
          </w:r>
          <w:r>
            <w:rPr>
              <w:rFonts w:ascii="微软雅黑" w:hAnsi="微软雅黑" w:eastAsia="微软雅黑"/>
              <w:sz w:val="30"/>
              <w:szCs w:val="30"/>
            </w:rPr>
            <w:fldChar w:fldCharType="begin"/>
          </w:r>
          <w:r>
            <w:rPr>
              <w:rFonts w:ascii="微软雅黑" w:hAnsi="微软雅黑" w:eastAsia="微软雅黑"/>
              <w:sz w:val="30"/>
              <w:szCs w:val="30"/>
            </w:rPr>
            <w:instrText xml:space="preserve"> PAGEREF _Toc85182908 \h </w:instrText>
          </w:r>
          <w:r>
            <w:rPr>
              <w:rFonts w:ascii="微软雅黑" w:hAnsi="微软雅黑" w:eastAsia="微软雅黑"/>
              <w:sz w:val="30"/>
              <w:szCs w:val="30"/>
            </w:rPr>
            <w:fldChar w:fldCharType="separate"/>
          </w:r>
          <w:r>
            <w:rPr>
              <w:rFonts w:ascii="微软雅黑" w:hAnsi="微软雅黑" w:eastAsia="微软雅黑"/>
              <w:sz w:val="30"/>
              <w:szCs w:val="30"/>
            </w:rPr>
            <w:t>8</w:t>
          </w:r>
          <w:r>
            <w:rPr>
              <w:rFonts w:ascii="微软雅黑" w:hAnsi="微软雅黑" w:eastAsia="微软雅黑"/>
              <w:sz w:val="30"/>
              <w:szCs w:val="30"/>
            </w:rPr>
            <w:fldChar w:fldCharType="end"/>
          </w:r>
          <w:r>
            <w:rPr>
              <w:rFonts w:ascii="微软雅黑" w:hAnsi="微软雅黑" w:eastAsia="微软雅黑"/>
              <w:sz w:val="30"/>
              <w:szCs w:val="30"/>
            </w:rPr>
            <w:fldChar w:fldCharType="end"/>
          </w:r>
        </w:p>
        <w:p>
          <w:pPr>
            <w:spacing w:line="720" w:lineRule="auto"/>
          </w:pPr>
          <w:r>
            <w:rPr>
              <w:rFonts w:ascii="微软雅黑" w:hAnsi="微软雅黑" w:eastAsia="微软雅黑"/>
              <w:bCs/>
              <w:sz w:val="30"/>
              <w:szCs w:val="30"/>
              <w:lang w:val="zh-CN"/>
            </w:rPr>
            <w:fldChar w:fldCharType="end"/>
          </w:r>
        </w:p>
      </w:sdtContent>
    </w:sdt>
    <w:p>
      <w:pPr>
        <w:widowControl/>
        <w:jc w:val="left"/>
        <w:rPr>
          <w:rFonts w:asciiTheme="minorEastAsia" w:hAnsiTheme="minorEastAsia"/>
          <w:b/>
          <w:sz w:val="32"/>
          <w:szCs w:val="32"/>
        </w:rPr>
      </w:pPr>
      <w:r>
        <w:rPr>
          <w:rFonts w:asciiTheme="minorEastAsia" w:hAnsiTheme="minorEastAsia"/>
          <w:b/>
          <w:sz w:val="32"/>
          <w:szCs w:val="32"/>
        </w:rPr>
        <w:br w:type="page"/>
      </w:r>
    </w:p>
    <w:p>
      <w:pPr>
        <w:pStyle w:val="2"/>
        <w:rPr>
          <w:rFonts w:ascii="仿宋_GB2312" w:hAnsi="仿宋_GB2312" w:eastAsia="仿宋_GB2312" w:cs="仿宋_GB2312"/>
          <w:b w:val="0"/>
          <w:sz w:val="36"/>
          <w:szCs w:val="36"/>
        </w:rPr>
      </w:pPr>
      <w:bookmarkStart w:id="0" w:name="_Toc85182903"/>
      <w:bookmarkStart w:id="1" w:name="_Toc85117882"/>
      <w:r>
        <w:rPr>
          <w:rFonts w:hint="eastAsia" w:ascii="仿宋_GB2312" w:hAnsi="仿宋_GB2312" w:eastAsia="仿宋_GB2312" w:cs="仿宋_GB2312"/>
          <w:sz w:val="36"/>
          <w:szCs w:val="36"/>
        </w:rPr>
        <w:t>一、再生资源回收目录</w:t>
      </w:r>
      <w:bookmarkEnd w:id="0"/>
      <w:bookmarkEnd w:id="1"/>
    </w:p>
    <w:p>
      <w:pPr>
        <w:spacing w:before="312" w:beforeLines="100"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再生资源是指废织物、废木制品、废纸张、废塑料、废金属等适宜回收、可循环利用的工业和生活中产生的废弃物。具体分类如下：</w:t>
      </w:r>
    </w:p>
    <w:p>
      <w:pPr>
        <w:spacing w:before="312" w:beforeLines="100" w:line="360" w:lineRule="auto"/>
        <w:jc w:val="center"/>
        <w:rPr>
          <w:rFonts w:hint="eastAsia" w:ascii="黑体" w:hAnsi="黑体" w:eastAsia="黑体"/>
          <w:sz w:val="32"/>
          <w:szCs w:val="32"/>
        </w:rPr>
      </w:pPr>
      <w:r>
        <w:rPr>
          <w:rFonts w:hint="eastAsia" w:ascii="黑体" w:hAnsi="黑体" w:eastAsia="黑体"/>
          <w:sz w:val="32"/>
          <w:szCs w:val="32"/>
        </w:rPr>
        <w:t>再生资源回收目录</w:t>
      </w:r>
    </w:p>
    <w:p>
      <w:pPr>
        <w:rPr>
          <w:rFonts w:hint="eastAsia"/>
        </w:rPr>
      </w:pPr>
    </w:p>
    <w:tbl>
      <w:tblPr>
        <w:tblStyle w:val="11"/>
        <w:tblW w:w="89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1"/>
        <w:gridCol w:w="2010"/>
        <w:gridCol w:w="2910"/>
        <w:gridCol w:w="31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931"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序号</w:t>
            </w:r>
          </w:p>
        </w:tc>
        <w:tc>
          <w:tcPr>
            <w:tcW w:w="2010"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再生资源类别</w:t>
            </w:r>
          </w:p>
        </w:tc>
        <w:tc>
          <w:tcPr>
            <w:tcW w:w="2910"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说明</w:t>
            </w:r>
          </w:p>
        </w:tc>
        <w:tc>
          <w:tcPr>
            <w:tcW w:w="3105"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回收资源名称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931"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1</w:t>
            </w:r>
          </w:p>
        </w:tc>
        <w:tc>
          <w:tcPr>
            <w:tcW w:w="20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废旧纺织品</w:t>
            </w:r>
          </w:p>
        </w:tc>
        <w:tc>
          <w:tcPr>
            <w:tcW w:w="29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指从纺织品原材料生产、加工和使用中产生的废物</w:t>
            </w:r>
          </w:p>
        </w:tc>
        <w:tc>
          <w:tcPr>
            <w:tcW w:w="3105"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废纺织品、旧纺织品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9" w:hRule="atLeast"/>
          <w:jc w:val="center"/>
        </w:trPr>
        <w:tc>
          <w:tcPr>
            <w:tcW w:w="931"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2</w:t>
            </w:r>
          </w:p>
        </w:tc>
        <w:tc>
          <w:tcPr>
            <w:tcW w:w="20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废皮革制品</w:t>
            </w:r>
          </w:p>
        </w:tc>
        <w:tc>
          <w:tcPr>
            <w:tcW w:w="29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指从皮革草草制、皮革加工和使用中产生的废物</w:t>
            </w:r>
          </w:p>
        </w:tc>
        <w:tc>
          <w:tcPr>
            <w:tcW w:w="3105"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皮革及其制品、毛皮及其制品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6" w:hRule="atLeast"/>
          <w:jc w:val="center"/>
        </w:trPr>
        <w:tc>
          <w:tcPr>
            <w:tcW w:w="931"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3</w:t>
            </w:r>
          </w:p>
        </w:tc>
        <w:tc>
          <w:tcPr>
            <w:tcW w:w="20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废木制品</w:t>
            </w:r>
          </w:p>
        </w:tc>
        <w:tc>
          <w:tcPr>
            <w:tcW w:w="29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指家具森林或园林采伐废弃物、木材加工废弃物及育林豆豆枝废弃物，包括废木质</w:t>
            </w:r>
          </w:p>
        </w:tc>
        <w:tc>
          <w:tcPr>
            <w:tcW w:w="3105"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建筑安装木质料、木质家具、车船用木料、木质包装物、木枕木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3" w:hRule="atLeast"/>
          <w:jc w:val="center"/>
        </w:trPr>
        <w:tc>
          <w:tcPr>
            <w:tcW w:w="931"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4</w:t>
            </w:r>
          </w:p>
        </w:tc>
        <w:tc>
          <w:tcPr>
            <w:tcW w:w="20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废纸</w:t>
            </w:r>
          </w:p>
        </w:tc>
        <w:tc>
          <w:tcPr>
            <w:tcW w:w="29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指从造纸、纸制品加工和使用中产生的废物</w:t>
            </w:r>
          </w:p>
        </w:tc>
        <w:tc>
          <w:tcPr>
            <w:tcW w:w="3105"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废瓦楞纸箱类、废纸盒及废卡纸类、包装废纸类、废新闻纸类、废书刊类、办公废纸类、特种废纸类、混合废纸类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6" w:hRule="atLeast"/>
          <w:jc w:val="center"/>
        </w:trPr>
        <w:tc>
          <w:tcPr>
            <w:tcW w:w="931"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5</w:t>
            </w:r>
          </w:p>
        </w:tc>
        <w:tc>
          <w:tcPr>
            <w:tcW w:w="20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废橡胶制品</w:t>
            </w:r>
          </w:p>
        </w:tc>
        <w:tc>
          <w:tcPr>
            <w:tcW w:w="29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指从橡胶生产、加工和使用中产生的废物，包括废橡胶轮胎及其碎片</w:t>
            </w:r>
          </w:p>
        </w:tc>
        <w:tc>
          <w:tcPr>
            <w:tcW w:w="3105"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轿车轮胎、轻型载重汽车轮胎、载重和公共汽车轮胎、工程机械轮胎、农业和林业机械轮胎、工业车辆轮胎、摩托车轮胎、航空轮胎、特种车辆轮胎、力车轮胎、电动自行车轮胎、橡胶管、带、垫、条、橡胶电线、电缆皮、胶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8" w:hRule="atLeast"/>
          <w:jc w:val="center"/>
        </w:trPr>
        <w:tc>
          <w:tcPr>
            <w:tcW w:w="931"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6</w:t>
            </w:r>
          </w:p>
        </w:tc>
        <w:tc>
          <w:tcPr>
            <w:tcW w:w="20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废塑料制品</w:t>
            </w:r>
          </w:p>
        </w:tc>
        <w:tc>
          <w:tcPr>
            <w:tcW w:w="29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指从塑料生产、加工和使用中产生的废物</w:t>
            </w:r>
          </w:p>
        </w:tc>
        <w:tc>
          <w:tcPr>
            <w:tcW w:w="3105"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聚对苯二甲酸乙二醇酯（PET）制品、废丙烯晴-丁二烯-苯乙烯（ABS）制品、废聚氯乙烯（PVC）制品、废聚乙烯（PE）制品、废聚丙烯（PP）制品、废聚苯乙烯（PS）制品、废聚碳酸脂（PC）制品、废聚酰胺（PA）制品、混合废塑料制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6" w:hRule="atLeast"/>
          <w:jc w:val="center"/>
        </w:trPr>
        <w:tc>
          <w:tcPr>
            <w:tcW w:w="931"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7</w:t>
            </w:r>
          </w:p>
        </w:tc>
        <w:tc>
          <w:tcPr>
            <w:tcW w:w="20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废复合包装</w:t>
            </w:r>
          </w:p>
        </w:tc>
        <w:tc>
          <w:tcPr>
            <w:tcW w:w="29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指生产、生活中产生的含纸、塑、金属等材料的报废复合包装物</w:t>
            </w:r>
          </w:p>
        </w:tc>
        <w:tc>
          <w:tcPr>
            <w:tcW w:w="3105"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纸基废复合包装、塑料基废复合包装、金属基废复合包装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1" w:hRule="atLeast"/>
          <w:jc w:val="center"/>
        </w:trPr>
        <w:tc>
          <w:tcPr>
            <w:tcW w:w="931"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8</w:t>
            </w:r>
          </w:p>
        </w:tc>
        <w:tc>
          <w:tcPr>
            <w:tcW w:w="20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废玻璃</w:t>
            </w:r>
          </w:p>
        </w:tc>
        <w:tc>
          <w:tcPr>
            <w:tcW w:w="29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指从玻璃生产、加工和使用中产生的废物及废弃制品</w:t>
            </w:r>
          </w:p>
        </w:tc>
        <w:tc>
          <w:tcPr>
            <w:tcW w:w="3105"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废平板玻璃、废日用玻璃、废特种玻璃、废玻璃纤维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8" w:hRule="atLeast"/>
          <w:jc w:val="center"/>
        </w:trPr>
        <w:tc>
          <w:tcPr>
            <w:tcW w:w="931"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9</w:t>
            </w:r>
          </w:p>
        </w:tc>
        <w:tc>
          <w:tcPr>
            <w:tcW w:w="20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废钢铁</w:t>
            </w:r>
          </w:p>
        </w:tc>
        <w:tc>
          <w:tcPr>
            <w:tcW w:w="29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指铁等黑色金属及其合金在生产、加工和使用时产生的废料和使用过程中产生的废物</w:t>
            </w:r>
          </w:p>
        </w:tc>
        <w:tc>
          <w:tcPr>
            <w:tcW w:w="3105"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废铁、废钢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3" w:hRule="atLeast"/>
          <w:jc w:val="center"/>
        </w:trPr>
        <w:tc>
          <w:tcPr>
            <w:tcW w:w="931"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10</w:t>
            </w:r>
          </w:p>
        </w:tc>
        <w:tc>
          <w:tcPr>
            <w:tcW w:w="20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废有色金属（不包括有色金属冶炼废物</w:t>
            </w:r>
          </w:p>
        </w:tc>
        <w:tc>
          <w:tcPr>
            <w:tcW w:w="29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的指废各种物有色金属及其合金在生产、加工和使用时产生的废料和使用过程中产生</w:t>
            </w:r>
          </w:p>
        </w:tc>
        <w:tc>
          <w:tcPr>
            <w:tcW w:w="3105"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铜及铜合金废料、铝及铝合金废料、铅及铅合金废料、锌及锌合金废料、镁及镁合金废料、镍及镍合金废料、钛及钛合金废料、锡及锡合金废料、钨及钨合金废料、其他有色金属及其合金废料、金废料、银废料、铂族金属废料、其他稀贵金属及其合金废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0" w:hRule="atLeast"/>
          <w:jc w:val="center"/>
        </w:trPr>
        <w:tc>
          <w:tcPr>
            <w:tcW w:w="931" w:type="dxa"/>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11</w:t>
            </w:r>
          </w:p>
        </w:tc>
        <w:tc>
          <w:tcPr>
            <w:tcW w:w="20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废电子电器产品</w:t>
            </w:r>
          </w:p>
        </w:tc>
        <w:tc>
          <w:tcPr>
            <w:tcW w:w="29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指生产、生活中产生的废弃电子产品、电气设备及其废弃零部件、元器件</w:t>
            </w:r>
          </w:p>
        </w:tc>
        <w:tc>
          <w:tcPr>
            <w:tcW w:w="3105"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电冰箱、空调器、吸油烟机、洗衣机、电热水器、燃气热水器、打印机、复印机、传真机、电视机、监视器、微型计算机、电话单机、其他电器电子产品</w:t>
            </w:r>
          </w:p>
        </w:tc>
      </w:tr>
    </w:tbl>
    <w:p>
      <w:pPr>
        <w:pStyle w:val="2"/>
        <w:rPr>
          <w:rFonts w:ascii="仿宋_GB2312" w:hAnsi="仿宋_GB2312" w:eastAsia="仿宋_GB2312" w:cs="仿宋_GB2312"/>
          <w:b w:val="0"/>
          <w:sz w:val="36"/>
          <w:szCs w:val="36"/>
        </w:rPr>
      </w:pPr>
      <w:bookmarkStart w:id="2" w:name="_Toc85117883"/>
      <w:bookmarkStart w:id="3" w:name="_Toc85182904"/>
      <w:r>
        <w:rPr>
          <w:rFonts w:hint="eastAsia" w:ascii="仿宋_GB2312" w:hAnsi="仿宋_GB2312" w:eastAsia="仿宋_GB2312" w:cs="仿宋_GB2312"/>
          <w:sz w:val="36"/>
          <w:szCs w:val="36"/>
        </w:rPr>
        <w:t>二、再生资源回收路径指引</w:t>
      </w:r>
      <w:bookmarkEnd w:id="2"/>
      <w:bookmarkEnd w:id="3"/>
    </w:p>
    <w:p>
      <w:pPr>
        <w:pStyle w:val="18"/>
        <w:shd w:val="clear" w:color="auto" w:fill="FFFFFF"/>
        <w:spacing w:before="312" w:beforeLines="100" w:beforeAutospacing="0" w:after="0" w:afterAutospacing="0" w:line="360" w:lineRule="auto"/>
        <w:outlineLvl w:val="1"/>
        <w:rPr>
          <w:rFonts w:ascii="仿宋_GB2312" w:hAnsi="仿宋_GB2312" w:eastAsia="仿宋_GB2312" w:cs="仿宋_GB2312"/>
          <w:b/>
          <w:kern w:val="2"/>
          <w:sz w:val="32"/>
          <w:szCs w:val="32"/>
        </w:rPr>
      </w:pPr>
      <w:bookmarkStart w:id="4" w:name="_Toc85182905"/>
      <w:bookmarkStart w:id="5" w:name="_Toc85117884"/>
      <w:r>
        <w:rPr>
          <w:rFonts w:hint="eastAsia" w:ascii="仿宋_GB2312" w:hAnsi="仿宋_GB2312" w:eastAsia="仿宋_GB2312" w:cs="仿宋_GB2312"/>
          <w:b/>
          <w:kern w:val="2"/>
          <w:sz w:val="32"/>
          <w:szCs w:val="32"/>
          <w:lang w:eastAsia="zh-CN"/>
        </w:rPr>
        <w:t>　　</w:t>
      </w:r>
      <w:r>
        <w:rPr>
          <w:rFonts w:hint="eastAsia" w:ascii="仿宋_GB2312" w:hAnsi="仿宋_GB2312" w:eastAsia="仿宋_GB2312" w:cs="仿宋_GB2312"/>
          <w:b/>
          <w:kern w:val="2"/>
          <w:sz w:val="32"/>
          <w:szCs w:val="32"/>
        </w:rPr>
        <w:t>1、</w:t>
      </w:r>
      <w:r>
        <w:rPr>
          <w:rFonts w:ascii="仿宋_GB2312" w:hAnsi="仿宋_GB2312" w:eastAsia="仿宋_GB2312" w:cs="仿宋_GB2312"/>
          <w:b/>
          <w:kern w:val="2"/>
          <w:sz w:val="32"/>
          <w:szCs w:val="32"/>
        </w:rPr>
        <w:t>废玻璃、废旧衣织物</w:t>
      </w:r>
      <w:bookmarkEnd w:id="4"/>
      <w:bookmarkEnd w:id="5"/>
    </w:p>
    <w:p>
      <w:pPr>
        <w:pStyle w:val="18"/>
        <w:shd w:val="clear" w:color="auto" w:fill="FFFFFF"/>
        <w:spacing w:before="312" w:beforeLines="100" w:beforeAutospacing="0" w:after="0" w:afterAutospacing="0" w:line="360" w:lineRule="auto"/>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eastAsia="zh-CN"/>
        </w:rPr>
        <w:t>　　</w:t>
      </w:r>
      <w:r>
        <w:rPr>
          <w:rFonts w:ascii="仿宋_GB2312" w:hAnsi="仿宋_GB2312" w:eastAsia="仿宋_GB2312" w:cs="仿宋_GB2312"/>
          <w:kern w:val="2"/>
          <w:sz w:val="32"/>
          <w:szCs w:val="32"/>
        </w:rPr>
        <w:t>构建以“社区回收站点—分拣加工中心—回收利用企业”以及垃圾分类减量建设与逆向配送回收体系相结合的“两网整合”回收模式。结合完善垃圾分类回收箱，由专业回收企业及回收经营者在居住小区和社区设置回收箱（点），提高废玻璃、废旧衣织物回收率。废玻璃、废旧衣织物回收模式图示：</w:t>
      </w:r>
    </w:p>
    <w:p>
      <w:pPr>
        <w:pStyle w:val="9"/>
        <w:shd w:val="clear" w:color="auto" w:fill="FFFFFF"/>
        <w:spacing w:before="312" w:beforeLines="100" w:beforeAutospacing="0" w:after="0" w:afterAutospacing="0" w:line="360" w:lineRule="auto"/>
        <w:jc w:val="center"/>
        <w:rPr>
          <w:rFonts w:ascii="Tahoma" w:hAnsi="Tahoma" w:cs="Tahoma"/>
          <w:color w:val="666666"/>
          <w:sz w:val="32"/>
          <w:szCs w:val="32"/>
        </w:rPr>
      </w:pPr>
      <w:r>
        <w:drawing>
          <wp:inline distT="0" distB="0" distL="0" distR="0">
            <wp:extent cx="3010535" cy="4448175"/>
            <wp:effectExtent l="0" t="0" r="0" b="0"/>
            <wp:docPr id="4" name="ECB019B1-382A-4266-B25C-5B523AA43C14-4" descr="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CB019B1-382A-4266-B25C-5B523AA43C14-4" descr="wps"/>
                    <pic:cNvPicPr>
                      <a:picLocks noChangeAspect="1"/>
                    </pic:cNvPicPr>
                  </pic:nvPicPr>
                  <pic:blipFill>
                    <a:blip r:embed="rId6"/>
                    <a:stretch>
                      <a:fillRect/>
                    </a:stretch>
                  </pic:blipFill>
                  <pic:spPr>
                    <a:xfrm>
                      <a:off x="0" y="0"/>
                      <a:ext cx="3079689" cy="4550479"/>
                    </a:xfrm>
                    <a:prstGeom prst="rect">
                      <a:avLst/>
                    </a:prstGeom>
                  </pic:spPr>
                </pic:pic>
              </a:graphicData>
            </a:graphic>
          </wp:inline>
        </w:drawing>
      </w:r>
    </w:p>
    <w:p>
      <w:pPr>
        <w:pStyle w:val="18"/>
        <w:shd w:val="clear" w:color="auto" w:fill="FFFFFF"/>
        <w:spacing w:before="312" w:beforeLines="100" w:beforeAutospacing="0" w:after="0" w:afterAutospacing="0" w:line="360" w:lineRule="auto"/>
        <w:outlineLvl w:val="1"/>
        <w:rPr>
          <w:rFonts w:ascii="仿宋_GB2312" w:hAnsi="仿宋_GB2312" w:eastAsia="仿宋_GB2312" w:cs="仿宋_GB2312"/>
          <w:b/>
          <w:kern w:val="2"/>
          <w:sz w:val="32"/>
          <w:szCs w:val="32"/>
        </w:rPr>
      </w:pPr>
      <w:bookmarkStart w:id="6" w:name="_Toc85117885"/>
      <w:bookmarkStart w:id="7" w:name="_Toc85182906"/>
      <w:r>
        <w:rPr>
          <w:rFonts w:hint="eastAsia" w:ascii="仿宋_GB2312" w:hAnsi="仿宋_GB2312" w:eastAsia="仿宋_GB2312" w:cs="仿宋_GB2312"/>
          <w:b/>
          <w:kern w:val="2"/>
          <w:sz w:val="32"/>
          <w:szCs w:val="32"/>
          <w:lang w:eastAsia="zh-CN"/>
        </w:rPr>
        <w:t>　　</w:t>
      </w:r>
      <w:r>
        <w:rPr>
          <w:rFonts w:hint="eastAsia" w:ascii="仿宋_GB2312" w:hAnsi="仿宋_GB2312" w:eastAsia="仿宋_GB2312" w:cs="仿宋_GB2312"/>
          <w:b/>
          <w:kern w:val="2"/>
          <w:sz w:val="32"/>
          <w:szCs w:val="32"/>
        </w:rPr>
        <w:t>2、</w:t>
      </w:r>
      <w:r>
        <w:rPr>
          <w:rFonts w:ascii="仿宋_GB2312" w:hAnsi="仿宋_GB2312" w:eastAsia="仿宋_GB2312" w:cs="仿宋_GB2312"/>
          <w:b/>
          <w:kern w:val="2"/>
          <w:sz w:val="32"/>
          <w:szCs w:val="32"/>
        </w:rPr>
        <w:t>废塑料、废纸、废橡胶</w:t>
      </w:r>
      <w:bookmarkEnd w:id="6"/>
      <w:bookmarkEnd w:id="7"/>
    </w:p>
    <w:p>
      <w:pPr>
        <w:pStyle w:val="18"/>
        <w:shd w:val="clear" w:color="auto" w:fill="FFFFFF"/>
        <w:spacing w:before="312" w:beforeLines="100" w:beforeAutospacing="0" w:after="0" w:afterAutospacing="0" w:line="360" w:lineRule="auto"/>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eastAsia="zh-CN"/>
        </w:rPr>
        <w:t>　　</w:t>
      </w:r>
      <w:r>
        <w:rPr>
          <w:rFonts w:ascii="仿宋_GB2312" w:hAnsi="仿宋_GB2312" w:eastAsia="仿宋_GB2312" w:cs="仿宋_GB2312"/>
          <w:kern w:val="2"/>
          <w:sz w:val="32"/>
          <w:szCs w:val="32"/>
        </w:rPr>
        <w:t>构建以“回收站点—分拣加工中心—利用生产企业”为主线，在社区回收站点交投的基础上，鼓励和支持企业创建“互联网+再生资源回收”新模式，开通网络平台和回收热线电话，在区、县（市）已建立的分拣中心，实现鼠标点击、电话连线预约回收。废塑料、废纸、废橡胶回收模式图示：</w:t>
      </w:r>
    </w:p>
    <w:p>
      <w:pPr>
        <w:pStyle w:val="9"/>
        <w:shd w:val="clear" w:color="auto" w:fill="FFFFFF"/>
        <w:spacing w:before="312" w:beforeLines="100" w:beforeAutospacing="0" w:after="0" w:afterAutospacing="0" w:line="360" w:lineRule="auto"/>
        <w:jc w:val="center"/>
        <w:rPr>
          <w:rFonts w:ascii="仿宋_GB2312" w:hAnsi="仿宋_GB2312" w:eastAsia="仿宋_GB2312" w:cs="仿宋_GB2312"/>
          <w:kern w:val="2"/>
          <w:sz w:val="32"/>
          <w:szCs w:val="32"/>
        </w:rPr>
      </w:pPr>
      <w:r>
        <w:drawing>
          <wp:inline distT="0" distB="0" distL="0" distR="0">
            <wp:extent cx="4857750" cy="5468620"/>
            <wp:effectExtent l="0" t="0" r="0" b="0"/>
            <wp:docPr id="5" name="ECB019B1-382A-4266-B25C-5B523AA43C14-5" descr="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CB019B1-382A-4266-B25C-5B523AA43C14-5" descr="wps"/>
                    <pic:cNvPicPr>
                      <a:picLocks noChangeAspect="1"/>
                    </pic:cNvPicPr>
                  </pic:nvPicPr>
                  <pic:blipFill>
                    <a:blip r:embed="rId7"/>
                    <a:stretch>
                      <a:fillRect/>
                    </a:stretch>
                  </pic:blipFill>
                  <pic:spPr>
                    <a:xfrm>
                      <a:off x="0" y="0"/>
                      <a:ext cx="4877794" cy="5491338"/>
                    </a:xfrm>
                    <a:prstGeom prst="rect">
                      <a:avLst/>
                    </a:prstGeom>
                  </pic:spPr>
                </pic:pic>
              </a:graphicData>
            </a:graphic>
          </wp:inline>
        </w:drawing>
      </w:r>
    </w:p>
    <w:p>
      <w:pPr>
        <w:pStyle w:val="18"/>
        <w:shd w:val="clear" w:color="auto" w:fill="FFFFFF"/>
        <w:spacing w:before="312" w:beforeLines="100" w:beforeAutospacing="0" w:after="0" w:afterAutospacing="0" w:line="360" w:lineRule="auto"/>
        <w:outlineLvl w:val="1"/>
        <w:rPr>
          <w:rFonts w:ascii="仿宋_GB2312" w:hAnsi="仿宋_GB2312" w:eastAsia="仿宋_GB2312" w:cs="仿宋_GB2312"/>
          <w:b/>
          <w:kern w:val="2"/>
          <w:sz w:val="32"/>
          <w:szCs w:val="32"/>
        </w:rPr>
      </w:pPr>
      <w:bookmarkStart w:id="8" w:name="_Toc85182907"/>
      <w:bookmarkStart w:id="9" w:name="_Toc85117886"/>
      <w:r>
        <w:rPr>
          <w:rFonts w:hint="eastAsia" w:ascii="仿宋_GB2312" w:hAnsi="仿宋_GB2312" w:eastAsia="仿宋_GB2312" w:cs="仿宋_GB2312"/>
          <w:b/>
          <w:kern w:val="2"/>
          <w:sz w:val="32"/>
          <w:szCs w:val="32"/>
          <w:lang w:eastAsia="zh-CN"/>
        </w:rPr>
        <w:t>　　</w:t>
      </w:r>
      <w:r>
        <w:rPr>
          <w:rFonts w:hint="eastAsia" w:ascii="仿宋_GB2312" w:hAnsi="仿宋_GB2312" w:eastAsia="仿宋_GB2312" w:cs="仿宋_GB2312"/>
          <w:b/>
          <w:kern w:val="2"/>
          <w:sz w:val="32"/>
          <w:szCs w:val="32"/>
        </w:rPr>
        <w:t>3、</w:t>
      </w:r>
      <w:r>
        <w:rPr>
          <w:rFonts w:ascii="仿宋_GB2312" w:hAnsi="仿宋_GB2312" w:eastAsia="仿宋_GB2312" w:cs="仿宋_GB2312"/>
          <w:b/>
          <w:kern w:val="2"/>
          <w:sz w:val="32"/>
          <w:szCs w:val="32"/>
        </w:rPr>
        <w:t>废旧金属</w:t>
      </w:r>
      <w:bookmarkEnd w:id="8"/>
      <w:bookmarkEnd w:id="9"/>
    </w:p>
    <w:p>
      <w:pPr>
        <w:pStyle w:val="18"/>
        <w:shd w:val="clear" w:color="auto" w:fill="FFFFFF"/>
        <w:spacing w:before="312" w:beforeLines="100" w:beforeAutospacing="0" w:after="0" w:afterAutospacing="0" w:line="360" w:lineRule="auto"/>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eastAsia="zh-CN"/>
        </w:rPr>
        <w:t>　　</w:t>
      </w:r>
      <w:r>
        <w:rPr>
          <w:rFonts w:ascii="仿宋_GB2312" w:hAnsi="仿宋_GB2312" w:eastAsia="仿宋_GB2312" w:cs="仿宋_GB2312"/>
          <w:kern w:val="2"/>
          <w:sz w:val="32"/>
          <w:szCs w:val="32"/>
        </w:rPr>
        <w:t>构建以“回收站点、企事业产废单位—分拣加工中心—利用生产企业”为主线的废金属回收利用模式。强化合法合规回收机制，实现生产性废旧金属规模化回收；鼓励企事业产废单位与规模化回收企业对接，减少回收周转环节；提倡分拣加工中心精细化加工，提高生产性废旧金属回收利用附加值，形成废旧金属的回收、加工、利用产业链。废旧金属回收模式图示：</w:t>
      </w:r>
    </w:p>
    <w:p>
      <w:pPr>
        <w:pStyle w:val="9"/>
        <w:shd w:val="clear" w:color="auto" w:fill="FFFFFF"/>
        <w:spacing w:before="312" w:beforeLines="100" w:beforeAutospacing="0" w:after="0" w:afterAutospacing="0" w:line="360" w:lineRule="auto"/>
        <w:jc w:val="center"/>
        <w:rPr>
          <w:rFonts w:ascii="仿宋_GB2312" w:hAnsi="仿宋_GB2312" w:eastAsia="仿宋_GB2312" w:cs="仿宋_GB2312"/>
          <w:kern w:val="2"/>
          <w:sz w:val="32"/>
          <w:szCs w:val="32"/>
        </w:rPr>
      </w:pPr>
      <w:r>
        <w:drawing>
          <wp:inline distT="0" distB="0" distL="0" distR="0">
            <wp:extent cx="5274310" cy="4482465"/>
            <wp:effectExtent l="0" t="0" r="0" b="0"/>
            <wp:docPr id="3" name="ECB019B1-382A-4266-B25C-5B523AA43C14-3" descr="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CB019B1-382A-4266-B25C-5B523AA43C14-3" descr="wps"/>
                    <pic:cNvPicPr>
                      <a:picLocks noChangeAspect="1"/>
                    </pic:cNvPicPr>
                  </pic:nvPicPr>
                  <pic:blipFill>
                    <a:blip r:embed="rId8"/>
                    <a:stretch>
                      <a:fillRect/>
                    </a:stretch>
                  </pic:blipFill>
                  <pic:spPr>
                    <a:xfrm>
                      <a:off x="0" y="0"/>
                      <a:ext cx="5274310" cy="4482465"/>
                    </a:xfrm>
                    <a:prstGeom prst="rect">
                      <a:avLst/>
                    </a:prstGeom>
                  </pic:spPr>
                </pic:pic>
              </a:graphicData>
            </a:graphic>
          </wp:inline>
        </w:drawing>
      </w:r>
    </w:p>
    <w:p>
      <w:pPr>
        <w:pStyle w:val="18"/>
        <w:shd w:val="clear" w:color="auto" w:fill="FFFFFF"/>
        <w:spacing w:before="312" w:beforeLines="100" w:beforeAutospacing="0" w:after="0" w:afterAutospacing="0" w:line="360" w:lineRule="auto"/>
        <w:outlineLvl w:val="1"/>
        <w:rPr>
          <w:rFonts w:hint="eastAsia" w:ascii="仿宋_GB2312" w:hAnsi="仿宋_GB2312" w:eastAsia="仿宋_GB2312" w:cs="仿宋_GB2312"/>
          <w:b/>
          <w:kern w:val="2"/>
          <w:sz w:val="32"/>
          <w:szCs w:val="32"/>
          <w:lang w:eastAsia="zh-CN"/>
        </w:rPr>
      </w:pPr>
      <w:bookmarkStart w:id="10" w:name="_Toc85182908"/>
      <w:bookmarkStart w:id="11" w:name="_Toc85117887"/>
      <w:r>
        <w:rPr>
          <w:rFonts w:hint="eastAsia" w:ascii="仿宋_GB2312" w:hAnsi="仿宋_GB2312" w:eastAsia="仿宋_GB2312" w:cs="仿宋_GB2312"/>
          <w:b/>
          <w:kern w:val="2"/>
          <w:sz w:val="32"/>
          <w:szCs w:val="32"/>
          <w:lang w:eastAsia="zh-CN"/>
        </w:rPr>
        <w:t>　　</w:t>
      </w:r>
    </w:p>
    <w:p>
      <w:pPr>
        <w:pStyle w:val="18"/>
        <w:shd w:val="clear" w:color="auto" w:fill="FFFFFF"/>
        <w:spacing w:before="312" w:beforeLines="100" w:beforeAutospacing="0" w:after="0" w:afterAutospacing="0" w:line="360" w:lineRule="auto"/>
        <w:outlineLvl w:val="1"/>
        <w:rPr>
          <w:rFonts w:ascii="仿宋_GB2312" w:hAnsi="仿宋_GB2312" w:eastAsia="仿宋_GB2312" w:cs="仿宋_GB2312"/>
          <w:b/>
          <w:kern w:val="2"/>
          <w:sz w:val="32"/>
          <w:szCs w:val="32"/>
        </w:rPr>
      </w:pPr>
      <w:r>
        <w:rPr>
          <w:rFonts w:hint="eastAsia" w:ascii="仿宋_GB2312" w:hAnsi="仿宋_GB2312" w:eastAsia="仿宋_GB2312" w:cs="仿宋_GB2312"/>
          <w:b/>
          <w:kern w:val="2"/>
          <w:sz w:val="32"/>
          <w:szCs w:val="32"/>
          <w:lang w:eastAsia="zh-CN"/>
        </w:rPr>
        <w:t>　　</w:t>
      </w:r>
      <w:r>
        <w:rPr>
          <w:rFonts w:hint="eastAsia" w:ascii="仿宋_GB2312" w:hAnsi="仿宋_GB2312" w:eastAsia="仿宋_GB2312" w:cs="仿宋_GB2312"/>
          <w:b/>
          <w:kern w:val="2"/>
          <w:sz w:val="32"/>
          <w:szCs w:val="32"/>
        </w:rPr>
        <w:t>4、</w:t>
      </w:r>
      <w:r>
        <w:rPr>
          <w:rFonts w:ascii="仿宋_GB2312" w:hAnsi="仿宋_GB2312" w:eastAsia="仿宋_GB2312" w:cs="仿宋_GB2312"/>
          <w:b/>
          <w:kern w:val="2"/>
          <w:sz w:val="32"/>
          <w:szCs w:val="32"/>
        </w:rPr>
        <w:t>废弃电器电子产品</w:t>
      </w:r>
      <w:bookmarkEnd w:id="10"/>
      <w:bookmarkEnd w:id="11"/>
    </w:p>
    <w:p>
      <w:pPr>
        <w:pStyle w:val="18"/>
        <w:shd w:val="clear" w:color="auto" w:fill="FFFFFF"/>
        <w:spacing w:before="312" w:beforeLines="100" w:beforeAutospacing="0" w:after="0" w:afterAutospacing="0" w:line="360" w:lineRule="auto"/>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eastAsia="zh-CN"/>
        </w:rPr>
        <w:t>　　</w:t>
      </w:r>
      <w:r>
        <w:rPr>
          <w:rFonts w:ascii="仿宋_GB2312" w:hAnsi="仿宋_GB2312" w:eastAsia="仿宋_GB2312" w:cs="仿宋_GB2312"/>
          <w:kern w:val="2"/>
          <w:sz w:val="32"/>
          <w:szCs w:val="32"/>
        </w:rPr>
        <w:t>构建以“社区回收站点—分拣处置中心—利用企业”为主，采取以销售商为主体的、以废旧物资回收公司为专业的、以家电维修及电子废物拆解处置企业为补充的废弃电器电子产品回收的多种方式，为电器电子产品使用者提供方便、快捷的回收服务。</w:t>
      </w:r>
    </w:p>
    <w:p>
      <w:pPr>
        <w:pStyle w:val="18"/>
        <w:shd w:val="clear" w:color="auto" w:fill="FFFFFF"/>
        <w:spacing w:before="312" w:beforeLines="100" w:beforeAutospacing="0" w:after="0" w:afterAutospacing="0" w:line="360" w:lineRule="auto"/>
        <w:ind w:firstLine="480"/>
        <w:rPr>
          <w:rFonts w:ascii="仿宋_GB2312" w:hAnsi="仿宋_GB2312" w:eastAsia="仿宋_GB2312" w:cs="仿宋_GB2312"/>
          <w:kern w:val="2"/>
          <w:sz w:val="32"/>
          <w:szCs w:val="32"/>
        </w:rPr>
      </w:pPr>
      <w:r>
        <w:rPr>
          <w:rFonts w:ascii="仿宋_GB2312" w:hAnsi="仿宋_GB2312" w:eastAsia="仿宋_GB2312" w:cs="仿宋_GB2312"/>
          <w:kern w:val="2"/>
          <w:sz w:val="32"/>
          <w:szCs w:val="32"/>
        </w:rPr>
        <w:t>废弃电器电子产品回收模式图示：</w:t>
      </w:r>
    </w:p>
    <w:p>
      <w:pPr>
        <w:pStyle w:val="18"/>
        <w:shd w:val="clear" w:color="auto" w:fill="FFFFFF"/>
        <w:spacing w:before="312" w:beforeLines="100" w:beforeAutospacing="0" w:after="0" w:afterAutospacing="0" w:line="360" w:lineRule="auto"/>
        <w:ind w:firstLine="480"/>
      </w:pPr>
      <w:r>
        <w:drawing>
          <wp:inline distT="0" distB="0" distL="0" distR="0">
            <wp:extent cx="4509135" cy="5285740"/>
            <wp:effectExtent l="0" t="0" r="0" b="0"/>
            <wp:docPr id="6" name="ECB019B1-382A-4266-B25C-5B523AA43C14-6" descr="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ECB019B1-382A-4266-B25C-5B523AA43C14-6" descr="wps"/>
                    <pic:cNvPicPr>
                      <a:picLocks noChangeAspect="1"/>
                    </pic:cNvPicPr>
                  </pic:nvPicPr>
                  <pic:blipFill>
                    <a:blip r:embed="rId9"/>
                    <a:stretch>
                      <a:fillRect/>
                    </a:stretch>
                  </pic:blipFill>
                  <pic:spPr>
                    <a:xfrm>
                      <a:off x="0" y="0"/>
                      <a:ext cx="4509135" cy="5285740"/>
                    </a:xfrm>
                    <a:prstGeom prst="rect">
                      <a:avLst/>
                    </a:prstGeom>
                  </pic:spPr>
                </pic:pic>
              </a:graphicData>
            </a:graphic>
          </wp:inline>
        </w:drawing>
      </w:r>
      <w:bookmarkStart w:id="12" w:name="_GoBack"/>
      <w:bookmarkEnd w:id="12"/>
    </w:p>
    <w:sectPr>
      <w:footerReference r:id="rId4"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12053527"/>
      <w:docPartObj>
        <w:docPartGallery w:val="autotext"/>
      </w:docPartObj>
    </w:sdtPr>
    <w:sdtEndPr>
      <w:rPr>
        <w:sz w:val="24"/>
        <w:szCs w:val="24"/>
      </w:rPr>
    </w:sdtEndPr>
    <w:sdtContent>
      <w:p>
        <w:pPr>
          <w:pStyle w:val="5"/>
          <w:jc w:val="center"/>
          <w:rPr>
            <w:sz w:val="24"/>
            <w:szCs w:val="24"/>
          </w:rPr>
        </w:pPr>
        <w:r>
          <w:rPr>
            <w:sz w:val="24"/>
            <w:szCs w:val="24"/>
          </w:rPr>
          <w:fldChar w:fldCharType="begin"/>
        </w:r>
        <w:r>
          <w:rPr>
            <w:sz w:val="24"/>
            <w:szCs w:val="24"/>
          </w:rPr>
          <w:instrText xml:space="preserve">PAGE   \* MERGEFORMAT</w:instrText>
        </w:r>
        <w:r>
          <w:rPr>
            <w:sz w:val="24"/>
            <w:szCs w:val="24"/>
          </w:rPr>
          <w:fldChar w:fldCharType="separate"/>
        </w:r>
        <w:r>
          <w:rPr>
            <w:sz w:val="24"/>
            <w:szCs w:val="24"/>
            <w:lang w:val="zh-CN"/>
          </w:rPr>
          <w:t>2</w:t>
        </w:r>
        <w:r>
          <w:rPr>
            <w:sz w:val="24"/>
            <w:szCs w:val="24"/>
          </w:rPr>
          <w:fldChar w:fldCharType="end"/>
        </w:r>
      </w:p>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64DE"/>
    <w:rsid w:val="00002982"/>
    <w:rsid w:val="000A677C"/>
    <w:rsid w:val="001B64DE"/>
    <w:rsid w:val="005419CA"/>
    <w:rsid w:val="006536F3"/>
    <w:rsid w:val="006D4491"/>
    <w:rsid w:val="00AF2EE1"/>
    <w:rsid w:val="00E37B69"/>
    <w:rsid w:val="00F1379F"/>
    <w:rsid w:val="128738AA"/>
    <w:rsid w:val="1C006679"/>
    <w:rsid w:val="1FA23388"/>
    <w:rsid w:val="7A4256EA"/>
    <w:rsid w:val="B7DFCD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semiHidden="0" w:name="toc 1"/>
    <w:lsdException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6"/>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17"/>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4">
    <w:name w:val="Balloon Text"/>
    <w:basedOn w:val="1"/>
    <w:link w:val="19"/>
    <w:semiHidden/>
    <w:unhideWhenUsed/>
    <w:uiPriority w:val="99"/>
    <w:rPr>
      <w:sz w:val="18"/>
      <w:szCs w:val="18"/>
    </w:rPr>
  </w:style>
  <w:style w:type="paragraph" w:styleId="5">
    <w:name w:val="footer"/>
    <w:basedOn w:val="1"/>
    <w:link w:val="15"/>
    <w:unhideWhenUsed/>
    <w:qFormat/>
    <w:uiPriority w:val="99"/>
    <w:pPr>
      <w:tabs>
        <w:tab w:val="center" w:pos="4153"/>
        <w:tab w:val="right" w:pos="8306"/>
      </w:tabs>
      <w:snapToGrid w:val="0"/>
      <w:jc w:val="left"/>
    </w:pPr>
    <w:rPr>
      <w:sz w:val="18"/>
      <w:szCs w:val="18"/>
    </w:rPr>
  </w:style>
  <w:style w:type="paragraph" w:styleId="6">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toc 1"/>
    <w:basedOn w:val="1"/>
    <w:next w:val="1"/>
    <w:unhideWhenUsed/>
    <w:uiPriority w:val="39"/>
  </w:style>
  <w:style w:type="paragraph" w:styleId="8">
    <w:name w:val="toc 2"/>
    <w:basedOn w:val="1"/>
    <w:next w:val="1"/>
    <w:unhideWhenUsed/>
    <w:uiPriority w:val="39"/>
    <w:pPr>
      <w:ind w:left="420" w:leftChars="200"/>
    </w:pPr>
  </w:style>
  <w:style w:type="paragraph" w:styleId="9">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table" w:styleId="11">
    <w:name w:val="Table Grid"/>
    <w:basedOn w:val="10"/>
    <w:uiPriority w:val="3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unhideWhenUsed/>
    <w:uiPriority w:val="99"/>
    <w:rPr>
      <w:color w:val="0000FF" w:themeColor="hyperlink"/>
      <w:u w:val="single"/>
      <w14:textFill>
        <w14:solidFill>
          <w14:schemeClr w14:val="hlink"/>
        </w14:solidFill>
      </w14:textFill>
    </w:rPr>
  </w:style>
  <w:style w:type="character" w:customStyle="1" w:styleId="14">
    <w:name w:val="页眉 Char"/>
    <w:basedOn w:val="12"/>
    <w:link w:val="6"/>
    <w:qFormat/>
    <w:uiPriority w:val="99"/>
    <w:rPr>
      <w:sz w:val="18"/>
      <w:szCs w:val="18"/>
    </w:rPr>
  </w:style>
  <w:style w:type="character" w:customStyle="1" w:styleId="15">
    <w:name w:val="页脚 Char"/>
    <w:basedOn w:val="12"/>
    <w:link w:val="5"/>
    <w:uiPriority w:val="99"/>
    <w:rPr>
      <w:sz w:val="18"/>
      <w:szCs w:val="18"/>
    </w:rPr>
  </w:style>
  <w:style w:type="character" w:customStyle="1" w:styleId="16">
    <w:name w:val="标题 1 Char"/>
    <w:basedOn w:val="12"/>
    <w:link w:val="2"/>
    <w:uiPriority w:val="9"/>
    <w:rPr>
      <w:b/>
      <w:bCs/>
      <w:kern w:val="44"/>
      <w:sz w:val="44"/>
      <w:szCs w:val="44"/>
    </w:rPr>
  </w:style>
  <w:style w:type="character" w:customStyle="1" w:styleId="17">
    <w:name w:val="标题 2 Char"/>
    <w:basedOn w:val="12"/>
    <w:link w:val="3"/>
    <w:semiHidden/>
    <w:uiPriority w:val="9"/>
    <w:rPr>
      <w:rFonts w:asciiTheme="majorHAnsi" w:hAnsiTheme="majorHAnsi" w:eastAsiaTheme="majorEastAsia" w:cstheme="majorBidi"/>
      <w:b/>
      <w:bCs/>
      <w:sz w:val="32"/>
      <w:szCs w:val="32"/>
    </w:rPr>
  </w:style>
  <w:style w:type="paragraph" w:customStyle="1" w:styleId="18">
    <w:name w:val="text-tag"/>
    <w:basedOn w:val="1"/>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9">
    <w:name w:val="批注框文本 Char"/>
    <w:basedOn w:val="12"/>
    <w:link w:val="4"/>
    <w:semiHidden/>
    <w:uiPriority w:val="99"/>
    <w:rPr>
      <w:sz w:val="18"/>
      <w:szCs w:val="18"/>
    </w:rPr>
  </w:style>
  <w:style w:type="paragraph" w:customStyle="1" w:styleId="20">
    <w:name w:val="TOC Heading"/>
    <w:basedOn w:val="2"/>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9</Pages>
  <Words>331</Words>
  <Characters>1892</Characters>
  <Lines>15</Lines>
  <Paragraphs>4</Paragraphs>
  <TotalTime>132</TotalTime>
  <ScaleCrop>false</ScaleCrop>
  <LinksUpToDate>false</LinksUpToDate>
  <CharactersWithSpaces>2219</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2021-10-15T09:31:00Z</dcterms:created>
  <dc:creator>微软用户</dc:creator>
  <cp:lastModifiedBy>斷麤嵞i</cp:lastModifiedBy>
  <dcterms:modified xsi:type="dcterms:W3CDTF">2021-11-23T01:45:41Z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919968B3F24D475CBF7BAC4ECDDA7E76</vt:lpwstr>
  </property>
</Properties>
</file>