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  <w:t>2018年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  <w:t>广东省人民政府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  <w:t>驻成都办事处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  <w:t>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tabs>
          <w:tab w:val="center" w:pos="4213"/>
        </w:tabs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ab/>
      </w:r>
    </w:p>
    <w:p>
      <w:pPr>
        <w:tabs>
          <w:tab w:val="right" w:pos="8306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0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省政府驻成都办事处概况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2018年部门预算表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2018年部门预算情况说明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省政府驻成都办事处概况</w:t>
      </w:r>
    </w:p>
    <w:p>
      <w:pPr>
        <w:widowControl/>
        <w:spacing w:before="75" w:after="75"/>
        <w:ind w:firstLine="632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1987年，为加强我省与西南地区兄弟省（市）的横向经济联系，经省政府批准成立了广东省人民政府驻成都办事处（粤府办〔1987〕49号），为处级事业单位，由省经济技术协作办公室管理。2000年由省经济贸易委员会代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（粤机编办</w:t>
      </w:r>
      <w:r>
        <w:rPr>
          <w:rFonts w:hint="eastAsia" w:ascii="仿宋_GB2312" w:hAnsi="宋体" w:eastAsia="仿宋_GB2312"/>
          <w:sz w:val="32"/>
          <w:szCs w:val="32"/>
        </w:rPr>
        <w:t>［2000］213号）</w:t>
      </w:r>
      <w:r>
        <w:rPr>
          <w:rFonts w:hint="eastAsia" w:ascii="仿宋_GB2312" w:eastAsia="仿宋_GB2312"/>
          <w:sz w:val="32"/>
          <w:szCs w:val="32"/>
        </w:rPr>
        <w:t>。2012年，经省编办定编为公益一类事业单位（</w:t>
      </w:r>
      <w:r>
        <w:rPr>
          <w:rFonts w:hint="eastAsia" w:ascii="仿宋_GB2312" w:hAnsi="宋体" w:eastAsia="仿宋_GB2312"/>
          <w:sz w:val="32"/>
          <w:szCs w:val="32"/>
        </w:rPr>
        <w:t>粤机编办［2012］221号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2014年，办事处划归省商务厅代管</w:t>
      </w:r>
      <w:r>
        <w:rPr>
          <w:rFonts w:hint="eastAsia" w:ascii="仿宋_GB2312" w:eastAsia="仿宋_GB2312"/>
          <w:sz w:val="32"/>
          <w:szCs w:val="32"/>
          <w:lang w:eastAsia="zh-CN"/>
        </w:rPr>
        <w:t>（粤府办</w:t>
      </w:r>
      <w:r>
        <w:rPr>
          <w:rFonts w:hint="eastAsia" w:ascii="仿宋_GB2312" w:hAnsi="宋体" w:eastAsia="仿宋_GB2312"/>
          <w:sz w:val="32"/>
          <w:szCs w:val="32"/>
        </w:rPr>
        <w:t>［201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widowControl/>
        <w:spacing w:before="75" w:after="75"/>
        <w:ind w:firstLine="63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2017年12月，根据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省财政厅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《关于调整省政府驻沈阳等五个办事处财政隶属关系的通知》（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粤财行</w:t>
      </w:r>
      <w:r>
        <w:rPr>
          <w:rFonts w:hint="eastAsia" w:ascii="仿宋" w:hAnsi="仿宋" w:eastAsia="仿宋" w:cs="仿宋"/>
          <w:ker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422号）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要求，自2018年起，省政府驻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事处财政隶属关系划归商务厅，设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为商务厅下属二级预算单位。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承担我省与四川、重庆、西藏三省市区的经济、技术、人才等方面交流协作的协调、组织、服务工作；疏通我省与驻地及工作区域的商品流通渠道；完成省政府交办的其他各项任务。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</w:t>
      </w:r>
      <w:r>
        <w:rPr>
          <w:rFonts w:hint="eastAsia" w:ascii="仿宋_GB2312" w:eastAsia="仿宋_GB2312"/>
          <w:color w:val="000000"/>
          <w:sz w:val="32"/>
          <w:szCs w:val="32"/>
        </w:rPr>
        <w:t>办公室、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经协科</w:t>
      </w:r>
      <w:r>
        <w:rPr>
          <w:rFonts w:hint="eastAsia" w:ascii="仿宋_GB2312" w:eastAsia="仿宋_GB2312"/>
          <w:color w:val="000000"/>
          <w:sz w:val="32"/>
          <w:szCs w:val="32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信息科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3个科室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eastAsia="zh-CN"/>
        </w:rPr>
        <w:t>数</w:t>
      </w:r>
      <w:r>
        <w:rPr>
          <w:rFonts w:hint="eastAsia" w:ascii="仿宋_GB2312" w:eastAsia="仿宋_GB2312"/>
          <w:sz w:val="32"/>
          <w:szCs w:val="32"/>
        </w:rPr>
        <w:t>7人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截至2017年12月31日实有人数7人，另有商务厅委派主任1人，</w:t>
      </w:r>
      <w:r>
        <w:rPr>
          <w:rFonts w:hint="eastAsia" w:ascii="仿宋_GB2312" w:eastAsia="仿宋_GB2312"/>
          <w:color w:val="000000"/>
          <w:sz w:val="32"/>
          <w:szCs w:val="32"/>
        </w:rPr>
        <w:t>属商务厅行政编制。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2018年部门预算表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（表1-11附后）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2018年部门预算情况说明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本部门预算为办本级预算。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一、部门预算收支增减变化情况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本部门收入预算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240.73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21.83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。收入预算增长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是人员支出按相关文件要求相应增加；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43.13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增长的主要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人员支出按相关文件要求相应增加。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本部门没有政府性基金预算支出和国有资本经营预算拨款收支。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二、“三公”经费安排情况说明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本部门“三公”经费预算安排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32.4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40.43万元减少8.03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19.86</w:t>
      </w:r>
      <w:r>
        <w:rPr>
          <w:rFonts w:ascii="仿宋_GB2312" w:eastAsia="仿宋_GB2312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全部是公务用车运行费，较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17.1万元减少6.7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39.18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23.33万元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因公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接待。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经费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公务接待费预算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减少的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是依据上年工作实际情况及中央八项规定要求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三、机关运行经费安排情况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2018年，本部门机关运行经费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（财政拨款政务服务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72.71万元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树立过“紧日子”思想，严控各项经费支出。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其中：办公费1万元，邮电费1.2万元，差旅费13.2万元，福利费2.6万元，日常维修费0.5万元，办公用房水电费2.54万元，办公用房物业管理费5.12万元，办公设备购置3万元，其他费用42.63万元。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Chars="30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四、政府采购情况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本部门政府采购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万元，其中：货物类采购预算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2018年，本部门严格按有关规定配置使用固定资产。固定资产总额895.57万元，其中：房屋建筑物530.93万元、一般公务用车255.77万元，其他固定资产108.87万元。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六、预算绩效信息公开情况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2018年，本部门的整体支出绩效目标：一是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</w:t>
      </w:r>
      <w:r>
        <w:rPr>
          <w:rFonts w:hint="eastAsia" w:ascii="仿宋_GB2312" w:hAnsi="仿宋_GB2312" w:eastAsia="仿宋_GB2312" w:cs="仿宋_GB2312"/>
          <w:sz w:val="32"/>
          <w:szCs w:val="32"/>
        </w:rPr>
        <w:t>进省际间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经贸合作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“乡贤反哺”、“广货全国行”活动开展，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积极开拓广货市场；二是依托广东商会，拓宽广货营销渠道；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重点关注省委、省政府对信息工作的要求，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为我省提供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粤川渝藏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做法。</w:t>
      </w:r>
    </w:p>
    <w:p>
      <w:pPr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支出。“三公”经费指部门用财政拨款开支的因公出国（境）费、公务用车购置及运行费和公务接待费。其中，因公出国（境）费反映部门因公临时出国（境）活动发生的机票费用、住宿费用、伙食费等支出；公务用车购置及运行费反映部门公务用车购置费、燃料费、维修费、过桥过路费、保险费、保管费及年检费用等支出；公务接待费反映部门按规定开支的公务接待（含外宾接待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表1：收支总体情况表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表2：收入总体情况表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表3：支出总体情况表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表4：财政拨款收支总体情况表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表5：一般公共预算支出情况表（按功能分类科目）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表6：一般公共预算基本支出情况表（按支出经济分类科目）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表7：一般公共预算项目支出情况表（按支出经济分类科目）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表8：一般公共预算安排的行政经费及“三公”经费预算表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表9：政府性基金预算支出情况表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表10：部门预算基本支出预算表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表11：部门预算项目支出及其他支出预算表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</w:pPr>
    </w:p>
    <w:p>
      <w:pPr>
        <w:numPr>
          <w:ilvl w:val="0"/>
          <w:numId w:val="0"/>
        </w:numPr>
        <w:ind w:firstLine="420" w:firstLineChars="200"/>
        <w:jc w:val="both"/>
      </w:pPr>
    </w:p>
    <w:p>
      <w:pPr>
        <w:numPr>
          <w:ilvl w:val="0"/>
          <w:numId w:val="0"/>
        </w:numPr>
        <w:ind w:firstLine="420" w:firstLineChars="200"/>
        <w:jc w:val="both"/>
      </w:pPr>
    </w:p>
    <w:p>
      <w:pPr>
        <w:numPr>
          <w:ilvl w:val="0"/>
          <w:numId w:val="0"/>
        </w:numPr>
        <w:ind w:firstLine="420" w:firstLineChars="200"/>
        <w:jc w:val="both"/>
      </w:pPr>
    </w:p>
    <w:p>
      <w:pPr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迷你简粗仿宋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1FCB"/>
    <w:rsid w:val="03992F64"/>
    <w:rsid w:val="03FF0861"/>
    <w:rsid w:val="05A371EC"/>
    <w:rsid w:val="0693103E"/>
    <w:rsid w:val="0A9C0885"/>
    <w:rsid w:val="0B464EBC"/>
    <w:rsid w:val="0F7B0A62"/>
    <w:rsid w:val="10756E01"/>
    <w:rsid w:val="111403C2"/>
    <w:rsid w:val="12406D9D"/>
    <w:rsid w:val="13016A31"/>
    <w:rsid w:val="14464A01"/>
    <w:rsid w:val="17F87E31"/>
    <w:rsid w:val="192C59B0"/>
    <w:rsid w:val="1B20307B"/>
    <w:rsid w:val="1CAB605C"/>
    <w:rsid w:val="1FA274E9"/>
    <w:rsid w:val="25760971"/>
    <w:rsid w:val="25905511"/>
    <w:rsid w:val="2A303C90"/>
    <w:rsid w:val="2AA421DC"/>
    <w:rsid w:val="2D6935F3"/>
    <w:rsid w:val="2DDF6CC8"/>
    <w:rsid w:val="2E39423E"/>
    <w:rsid w:val="30FF465F"/>
    <w:rsid w:val="31752255"/>
    <w:rsid w:val="332A3243"/>
    <w:rsid w:val="341536F7"/>
    <w:rsid w:val="35F234FF"/>
    <w:rsid w:val="373969F7"/>
    <w:rsid w:val="382959F2"/>
    <w:rsid w:val="39117D70"/>
    <w:rsid w:val="3BFD7E31"/>
    <w:rsid w:val="3C776D9A"/>
    <w:rsid w:val="3CCB571E"/>
    <w:rsid w:val="3DDC34D6"/>
    <w:rsid w:val="41DA4A3A"/>
    <w:rsid w:val="42472A68"/>
    <w:rsid w:val="466672D3"/>
    <w:rsid w:val="48660CC6"/>
    <w:rsid w:val="48F144FF"/>
    <w:rsid w:val="4DF33BB6"/>
    <w:rsid w:val="50CB6A87"/>
    <w:rsid w:val="54336F25"/>
    <w:rsid w:val="56CD6ED9"/>
    <w:rsid w:val="5D763AF3"/>
    <w:rsid w:val="5EA031CB"/>
    <w:rsid w:val="5F274027"/>
    <w:rsid w:val="5FBF0039"/>
    <w:rsid w:val="60E37A9B"/>
    <w:rsid w:val="657526CB"/>
    <w:rsid w:val="66D06120"/>
    <w:rsid w:val="6825092F"/>
    <w:rsid w:val="6BA666F2"/>
    <w:rsid w:val="6D9B07DA"/>
    <w:rsid w:val="76D9030F"/>
    <w:rsid w:val="7844284C"/>
    <w:rsid w:val="7A3D118F"/>
    <w:rsid w:val="7B9C6DC6"/>
    <w:rsid w:val="7B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王磊</cp:lastModifiedBy>
  <cp:lastPrinted>2018-02-27T07:44:00Z</cp:lastPrinted>
  <dcterms:modified xsi:type="dcterms:W3CDTF">2018-03-06T09:31:50Z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