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2021年促进经济高质量发展专项资金（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内贸方向农村电商</w:t>
      </w:r>
    </w:p>
    <w:p>
      <w:pPr>
        <w:keepNext w:val="0"/>
        <w:keepLines w:val="0"/>
        <w:pageBreakBefore w:val="0"/>
        <w:widowControl w:val="0"/>
        <w:tabs>
          <w:tab w:val="left" w:pos="1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典型激励项目）分配方案表</w:t>
      </w:r>
    </w:p>
    <w:p>
      <w:pPr>
        <w:keepNext w:val="0"/>
        <w:keepLines w:val="0"/>
        <w:pageBreakBefore w:val="0"/>
        <w:widowControl w:val="0"/>
        <w:tabs>
          <w:tab w:val="left" w:pos="1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607"/>
        <w:gridCol w:w="3561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3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激励县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F1753"/>
    <w:rsid w:val="1C2F22E7"/>
    <w:rsid w:val="5E4F1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2021-02-19T08:49:00Z</dcterms:created>
  <dc:creator>斷麤嵞i</dc:creator>
  <cp:lastModifiedBy>斷麤嵞i</cp:lastModifiedBy>
  <dcterms:modified xsi:type="dcterms:W3CDTF">2021-02-19T09:04:32Z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200203825_btnclosed</vt:lpwstr>
  </property>
</Properties>
</file>