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</w:t>
      </w:r>
    </w:p>
    <w:p>
      <w:pPr>
        <w:jc w:val="center"/>
        <w:rPr>
          <w:rFonts w:ascii="Times New Roman" w:hAnsi="Times New Roman" w:eastAsia="华文中宋" w:cs="Times New Roman"/>
          <w:b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b w:val="0"/>
          <w:bCs/>
          <w:sz w:val="44"/>
          <w:szCs w:val="44"/>
        </w:rPr>
      </w:pPr>
      <w:bookmarkStart w:id="1" w:name="_GoBack"/>
      <w:r>
        <w:rPr>
          <w:rFonts w:hint="eastAsia" w:ascii="方正大标宋简体" w:hAnsi="方正大标宋简体" w:eastAsia="方正大标宋简体" w:cs="方正大标宋简体"/>
          <w:b w:val="0"/>
          <w:bCs/>
          <w:sz w:val="44"/>
          <w:szCs w:val="44"/>
        </w:rPr>
        <w:t>第三届进博会</w:t>
      </w:r>
      <w:r>
        <w:rPr>
          <w:rFonts w:hint="eastAsia" w:ascii="方正大标宋简体" w:hAnsi="方正大标宋简体" w:eastAsia="方正大标宋简体" w:cs="方正大标宋简体"/>
          <w:b w:val="0"/>
          <w:bCs/>
          <w:sz w:val="44"/>
          <w:szCs w:val="44"/>
          <w:lang w:val="en-US" w:eastAsia="zh-CN"/>
        </w:rPr>
        <w:t>广东交易团</w:t>
      </w:r>
      <w:r>
        <w:rPr>
          <w:rFonts w:hint="eastAsia" w:ascii="方正大标宋简体" w:hAnsi="方正大标宋简体" w:eastAsia="方正大标宋简体" w:cs="方正大标宋简体"/>
          <w:b w:val="0"/>
          <w:bCs/>
          <w:sz w:val="44"/>
          <w:szCs w:val="44"/>
        </w:rPr>
        <w:t>专业观众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b w:val="0"/>
          <w:bCs/>
          <w:sz w:val="36"/>
          <w:szCs w:val="36"/>
        </w:rPr>
      </w:pPr>
      <w:r>
        <w:rPr>
          <w:rFonts w:hint="eastAsia" w:ascii="方正大标宋简体" w:hAnsi="方正大标宋简体" w:eastAsia="方正大标宋简体" w:cs="方正大标宋简体"/>
          <w:b w:val="0"/>
          <w:bCs/>
          <w:sz w:val="44"/>
          <w:szCs w:val="44"/>
        </w:rPr>
        <w:t>个人防疫工作指引</w:t>
      </w:r>
    </w:p>
    <w:bookmarkEnd w:id="1"/>
    <w:p>
      <w:pPr>
        <w:spacing w:before="156" w:beforeLines="5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根据第三届进博会新冠肺炎疫情防控工作要求，现就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各交易分团</w:t>
      </w:r>
      <w:r>
        <w:rPr>
          <w:rFonts w:hint="eastAsia" w:ascii="仿宋_GB2312" w:hAnsi="仿宋_GB2312" w:eastAsia="仿宋_GB2312" w:cs="仿宋_GB2312"/>
          <w:sz w:val="32"/>
          <w:szCs w:val="32"/>
        </w:rPr>
        <w:t>到会参观洽谈的专业观众个人应开展的准备工作，说明如下：</w:t>
      </w:r>
    </w:p>
    <w:p>
      <w:pPr>
        <w:ind w:firstLine="643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b/>
          <w:bCs/>
          <w:sz w:val="32"/>
          <w:szCs w:val="32"/>
        </w:rPr>
        <w:t>一、</w:t>
      </w:r>
      <w:r>
        <w:rPr>
          <w:rFonts w:ascii="黑体" w:hAnsi="黑体" w:eastAsia="黑体" w:cs="Times New Roman"/>
          <w:sz w:val="32"/>
          <w:szCs w:val="32"/>
        </w:rPr>
        <w:t>到本地医疗机构进行核酸检测，并获取检测报告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1.专业观众一般在11月6日至10日入场。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2.首次入场时须具备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7日内</w:t>
      </w:r>
      <w:r>
        <w:rPr>
          <w:rFonts w:hint="eastAsia" w:ascii="仿宋_GB2312" w:hAnsi="仿宋_GB2312" w:eastAsia="仿宋_GB2312" w:cs="仿宋_GB2312"/>
          <w:sz w:val="32"/>
          <w:szCs w:val="32"/>
        </w:rPr>
        <w:t>（以采样日期为准）有效的核酸检测阴性报告；如果报告上无采样日期，则须具备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5日内</w:t>
      </w:r>
      <w:r>
        <w:rPr>
          <w:rFonts w:hint="eastAsia" w:ascii="仿宋_GB2312" w:hAnsi="仿宋_GB2312" w:eastAsia="仿宋_GB2312" w:cs="仿宋_GB2312"/>
          <w:sz w:val="32"/>
          <w:szCs w:val="32"/>
        </w:rPr>
        <w:t>（以报告出具日期为准）有效的核酸检测阴性报告。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3.核酸检测情况在首次入场时校验；首次入场后，后续日期继续入场观展，无须再进行核酸检测。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4.检测采样或报告日期与最晚首次入场日期对应表如下：</w:t>
      </w:r>
    </w:p>
    <w:tbl>
      <w:tblPr>
        <w:tblStyle w:val="2"/>
        <w:tblpPr w:leftFromText="180" w:rightFromText="180" w:vertAnchor="text" w:horzAnchor="page" w:tblpX="743" w:tblpY="196"/>
        <w:tblOverlap w:val="never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1"/>
        <w:gridCol w:w="3112"/>
        <w:gridCol w:w="135"/>
        <w:gridCol w:w="2694"/>
        <w:gridCol w:w="283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62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t>核酸</w:t>
            </w:r>
            <w:r>
              <w:rPr>
                <w:rFonts w:hint="eastAsia" w:ascii="Times New Roman" w:hAnsi="Times New Roman" w:eastAsia="仿宋" w:cs="Times New Roman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t>检测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t>采样或报告日期</w:t>
            </w:r>
            <w:r>
              <w:rPr>
                <w:rFonts w:hint="eastAsia" w:ascii="Times New Roman" w:hAnsi="Times New Roman" w:eastAsia="仿宋" w:cs="Times New Roman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t>与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t>最晚首次入场日期</w:t>
            </w:r>
            <w:r>
              <w:rPr>
                <w:rFonts w:hint="eastAsia" w:ascii="Times New Roman" w:hAnsi="Times New Roman" w:eastAsia="仿宋" w:cs="Times New Roman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t>对应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t>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7" w:hRule="atLeast"/>
        </w:trPr>
        <w:tc>
          <w:tcPr>
            <w:tcW w:w="1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Times New Roman"/>
                <w:color w:val="000000"/>
                <w:sz w:val="32"/>
                <w:szCs w:val="32"/>
              </w:rPr>
            </w:pPr>
            <w:r>
              <w:rPr>
                <w:rFonts w:ascii="黑体" w:hAnsi="黑体" w:eastAsia="黑体" w:cs="Times New Roman"/>
                <w:color w:val="000000"/>
                <w:kern w:val="0"/>
                <w:sz w:val="32"/>
                <w:szCs w:val="32"/>
                <w:lang w:bidi="ar"/>
              </w:rPr>
              <w:t>采样日期</w:t>
            </w:r>
          </w:p>
        </w:tc>
        <w:tc>
          <w:tcPr>
            <w:tcW w:w="311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最晚首次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入场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日期</w:t>
            </w:r>
          </w:p>
        </w:tc>
        <w:tc>
          <w:tcPr>
            <w:tcW w:w="13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黑体" w:hAnsi="黑体" w:eastAsia="黑体" w:cs="Times New Roman"/>
                <w:color w:val="000000"/>
                <w:kern w:val="0"/>
                <w:sz w:val="32"/>
                <w:szCs w:val="32"/>
                <w:lang w:bidi="ar"/>
              </w:rPr>
              <w:t>报告日期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（无采样日期）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最晚首次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入场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日期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10月31日</w:t>
            </w:r>
          </w:p>
        </w:tc>
        <w:tc>
          <w:tcPr>
            <w:tcW w:w="3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11月6日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11月2日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11月6日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11月1日</w:t>
            </w:r>
          </w:p>
        </w:tc>
        <w:tc>
          <w:tcPr>
            <w:tcW w:w="3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11月7日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11月3日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11月7日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11月2日</w:t>
            </w:r>
          </w:p>
        </w:tc>
        <w:tc>
          <w:tcPr>
            <w:tcW w:w="3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11月8日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11月4日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11月8日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11月3日</w:t>
            </w:r>
          </w:p>
        </w:tc>
        <w:tc>
          <w:tcPr>
            <w:tcW w:w="3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11月9日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11月5日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11月9日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11月4日</w:t>
            </w:r>
          </w:p>
        </w:tc>
        <w:tc>
          <w:tcPr>
            <w:tcW w:w="3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11月10日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11月6日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32"/>
                <w:szCs w:val="32"/>
                <w:lang w:bidi="ar"/>
              </w:rPr>
              <w:t>11月10日</w:t>
            </w:r>
          </w:p>
        </w:tc>
      </w:tr>
    </w:tbl>
    <w:p>
      <w:pPr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t>二、</w:t>
      </w:r>
      <w:r>
        <w:rPr>
          <w:rFonts w:hint="eastAsia" w:ascii="黑体" w:hAnsi="黑体" w:eastAsia="黑体" w:cs="Times New Roman"/>
          <w:sz w:val="32"/>
          <w:szCs w:val="32"/>
        </w:rPr>
        <w:t>及时在注册系统提交</w:t>
      </w:r>
      <w:r>
        <w:rPr>
          <w:rFonts w:ascii="黑体" w:hAnsi="黑体" w:eastAsia="黑体" w:cs="Times New Roman"/>
          <w:sz w:val="32"/>
          <w:szCs w:val="32"/>
        </w:rPr>
        <w:t>核酸检测报告</w:t>
      </w:r>
      <w:r>
        <w:rPr>
          <w:rFonts w:hint="eastAsia" w:ascii="黑体" w:hAnsi="黑体" w:eastAsia="黑体" w:cs="Times New Roman"/>
          <w:sz w:val="32"/>
          <w:szCs w:val="32"/>
        </w:rPr>
        <w:t>信息</w:t>
      </w:r>
    </w:p>
    <w:p>
      <w:pPr>
        <w:spacing w:line="604" w:lineRule="exact"/>
        <w:ind w:firstLine="640" w:firstLineChars="200"/>
        <w:contextualSpacing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须提报信息包括</w:t>
      </w:r>
      <w:r>
        <w:rPr>
          <w:rFonts w:hint="eastAsia" w:ascii="仿宋_GB2312" w:hAnsi="仿宋_GB2312" w:eastAsia="仿宋_GB2312" w:cs="仿宋_GB2312"/>
          <w:sz w:val="32"/>
          <w:szCs w:val="32"/>
        </w:rPr>
        <w:t>：按要求上传核酸检测报告照片（以jpg或png格式，清晰可识别等），填写核酸检测采样或报告日期（二选一）、检测机构、检测结果等信息。</w:t>
      </w:r>
    </w:p>
    <w:p>
      <w:pPr>
        <w:spacing w:line="604" w:lineRule="exact"/>
        <w:ind w:firstLine="640" w:firstLineChars="200"/>
        <w:contextualSpacing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2.赴第三届进博会观展洽谈，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随身携带核酸检测报告。</w:t>
      </w:r>
    </w:p>
    <w:p>
      <w:pPr>
        <w:ind w:firstLine="640" w:firstLineChars="200"/>
        <w:jc w:val="left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t>三、</w:t>
      </w:r>
      <w:bookmarkStart w:id="0" w:name="_Hlk52974791"/>
      <w:r>
        <w:rPr>
          <w:rFonts w:hint="eastAsia" w:ascii="黑体" w:hAnsi="黑体" w:eastAsia="黑体" w:cs="Times New Roman"/>
          <w:sz w:val="32"/>
          <w:szCs w:val="32"/>
        </w:rPr>
        <w:t>进行自我健康监测并填报、签署报送健康承诺书</w:t>
      </w:r>
      <w:bookmarkEnd w:id="0"/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1.抵沪（上海以外人员）或首次入场（在沪人员）前14天，进行体温和相关健康监测，逐日填写《健康监测记录表》（附件1），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</w:t>
      </w:r>
      <w:r>
        <w:rPr>
          <w:rFonts w:hint="eastAsia" w:ascii="仿宋_GB2312" w:hAnsi="仿宋_GB2312" w:eastAsia="仿宋_GB2312" w:cs="仿宋_GB2312"/>
          <w:sz w:val="32"/>
          <w:szCs w:val="32"/>
        </w:rPr>
        <w:t>要求提报交易分团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或交易团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2.抵沪（上海以外人员）或首次入场（在沪人员）前1天，本人填写并签署《健康承诺书》（附件2），按要求提报交易分团或交易团。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专业观众在注册系统内，以勾选的方式，同意《关于“自我健康监测”和“健康承诺”有关事项的承诺》，承诺单位内所有参会人员按要求进行自我健康监测并填报、签署报送健康承诺书，该单位及时收集所有参会人员《健康监测记录表》和《健康承诺书》，并按要求向交易分团或交易团提交。</w:t>
      </w:r>
    </w:p>
    <w:p>
      <w:pPr>
        <w:ind w:firstLine="640" w:firstLineChars="200"/>
        <w:jc w:val="left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t>四、提前注册“随申码”（上海市防疫健康信息码）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1.注册时间。上海以外人员，建议至少于抵沪前24小时注册；上海本地人员也须注册，建议至少于入场前24小时注册。</w:t>
      </w:r>
    </w:p>
    <w:p>
      <w:pPr>
        <w:spacing w:line="604" w:lineRule="exact"/>
        <w:ind w:firstLine="640" w:firstLineChars="200"/>
        <w:contextualSpacing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2.注册方式。(1)通过微信或支付宝小程序搜索“随申办”注册，境外人员仅支持支付宝注册；(2)通过“上海发布”微信公众号中的“随申办”注册；(3)下载“随申办市民云”APP注册。</w:t>
      </w:r>
    </w:p>
    <w:p>
      <w:pPr>
        <w:spacing w:line="604" w:lineRule="exact"/>
        <w:ind w:firstLine="560" w:firstLineChars="200"/>
        <w:contextualSpacing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仿宋" w:hAnsi="仿宋" w:eastAsia="仿宋"/>
          <w:sz w:val="28"/>
          <w:szCs w:val="28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27305</wp:posOffset>
            </wp:positionV>
            <wp:extent cx="1836420" cy="1836420"/>
            <wp:effectExtent l="0" t="0" r="11430" b="1143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2462" t="27934" r="21692" b="30611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4" w:lineRule="exact"/>
        <w:ind w:firstLine="640" w:firstLineChars="200"/>
        <w:contextualSpacing/>
        <w:rPr>
          <w:rFonts w:ascii="Times New Roman" w:hAnsi="Times New Roman" w:eastAsia="仿宋" w:cs="Times New Roman"/>
          <w:sz w:val="32"/>
          <w:szCs w:val="32"/>
        </w:rPr>
      </w:pPr>
    </w:p>
    <w:p>
      <w:pPr>
        <w:spacing w:line="604" w:lineRule="exact"/>
        <w:ind w:firstLine="640" w:firstLineChars="200"/>
        <w:contextualSpacing/>
        <w:rPr>
          <w:rFonts w:hint="eastAsia" w:ascii="Times New Roman" w:hAnsi="Times New Roman" w:eastAsia="仿宋" w:cs="Times New Roman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（可使用微信、支付宝、随申办APP扫描完成注册）</w:t>
      </w:r>
    </w:p>
    <w:p>
      <w:pPr>
        <w:ind w:firstLine="640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五</w:t>
      </w:r>
      <w:r>
        <w:rPr>
          <w:rFonts w:ascii="黑体" w:hAnsi="黑体" w:eastAsia="黑体" w:cs="Times New Roman"/>
          <w:sz w:val="32"/>
          <w:szCs w:val="32"/>
        </w:rPr>
        <w:t>、</w:t>
      </w: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注意事项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.参展参会人员在住宿期间，或进入展区时，或在展区内，如出现体温≥37.3℃或新冠肺炎疑似症状，应主动配合接受流行病学调查和相应的处置措施，在没有有明确诊断结果前，不再进入进博会展区。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各分团应</w:t>
      </w:r>
      <w:r>
        <w:rPr>
          <w:rFonts w:hint="eastAsia" w:ascii="仿宋_GB2312" w:hAnsi="仿宋_GB2312" w:eastAsia="仿宋_GB2312" w:cs="仿宋_GB2312"/>
          <w:sz w:val="32"/>
          <w:szCs w:val="32"/>
        </w:rPr>
        <w:t>指定专人负责沟通协调疫情防控相关事宜，并督促相关人员遵守进博会新冠肺炎疫情防控各项要求。如有人员出现体温≥37.3℃或新冠肺炎疑似症状，应及时报告现场工作人员，并主动配合开展流行病学调查和相应的控制处置措施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.其他未尽事宜，按照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上海市</w:t>
      </w:r>
      <w:r>
        <w:rPr>
          <w:rFonts w:hint="eastAsia" w:ascii="仿宋_GB2312" w:hAnsi="仿宋_GB2312" w:eastAsia="仿宋_GB2312" w:cs="仿宋_GB2312"/>
          <w:sz w:val="32"/>
          <w:szCs w:val="32"/>
        </w:rPr>
        <w:t>疫情防控要求执行。凡有虚假或不实承诺、隐瞒病史、隐瞒旅居史和接触史、自行服药隐瞒症状、瞒报漏报健康状况、逃避防疫措施等情形，一经发现，一律禁止进入展区。如造成严重后果的，将依法依规追究相关责任。</w:t>
      </w:r>
    </w:p>
    <w:p>
      <w:pPr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以上准备工作是进入第三届进博会观展洽谈的必要条件，未按要求及时完成将不能进入场馆。敬请知悉。</w:t>
      </w:r>
    </w:p>
    <w:p>
      <w:pPr>
        <w:ind w:firstLine="640" w:firstLineChars="200"/>
        <w:rPr>
          <w:rFonts w:hint="eastAsia" w:ascii="Times New Roman" w:hAnsi="Times New Roman" w:eastAsia="仿宋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感谢您对第三届进博会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广东交易团</w:t>
      </w:r>
      <w:r>
        <w:rPr>
          <w:rFonts w:hint="eastAsia" w:ascii="仿宋_GB2312" w:hAnsi="仿宋_GB2312" w:eastAsia="仿宋_GB2312" w:cs="仿宋_GB2312"/>
          <w:sz w:val="32"/>
          <w:szCs w:val="32"/>
        </w:rPr>
        <w:t>的大力支持！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CB47C6B-07C1-4FDB-B248-2149A048E03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4AE6208-01D0-4DB4-BCE8-AA4AD7E86D8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E95DC56-1F65-4DEA-AD27-9BFA46C8526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8E41204-F22D-44F5-9004-B1DE30F4D2A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8B3170F-D8BA-4D0C-9AF7-23792337A867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FE7CD89D-3C77-49DB-815A-90BFCADE7ED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0FBEC208-7E60-488D-B51C-984F2E85B0E9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3D93D38F-C37E-4976-A735-B6E3CA97BE9D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9" w:fontKey="{7A9F27F7-FE56-418B-B479-991B61850CA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3406AFEF-FA37-4D29-BC11-A05375E69F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D50F6C"/>
    <w:rsid w:val="01D50F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2021-03-05T08:01:00Z</dcterms:created>
  <dc:creator>斷麤嵞i</dc:creator>
  <cp:lastModifiedBy>斷麤嵞i</cp:lastModifiedBy>
  <dcterms:modified xsi:type="dcterms:W3CDTF">2021-03-05T08:02:41Z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200203825_embed</vt:lpwstr>
  </property>
</Properties>
</file>