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Times New Roman" w:eastAsia="黑体"/>
          <w:sz w:val="32"/>
          <w:highlight w:val="none"/>
        </w:rPr>
      </w:pPr>
      <w:r>
        <w:rPr>
          <w:rFonts w:hint="eastAsia" w:ascii="黑体" w:hAnsi="Times New Roman" w:eastAsia="黑体"/>
          <w:sz w:val="32"/>
          <w:highlight w:val="none"/>
        </w:rPr>
        <w:t>附件4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新能源、宠物用品展区展位申请相关说明</w:t>
      </w:r>
    </w:p>
    <w:p>
      <w:pPr>
        <w:spacing w:line="600" w:lineRule="exact"/>
        <w:jc w:val="center"/>
        <w:rPr>
          <w:rFonts w:ascii="Times New Roman" w:hAnsi="Times New Roman"/>
          <w:b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一、展位使用条件</w:t>
      </w:r>
    </w:p>
    <w:p>
      <w:pPr>
        <w:spacing w:line="600" w:lineRule="exact"/>
        <w:ind w:firstLine="630" w:firstLineChars="196"/>
        <w:rPr>
          <w:rFonts w:ascii="Times New Roman" w:hAnsi="Times New Roman" w:eastAsia="楷体_GB2312"/>
          <w:b/>
          <w:sz w:val="32"/>
          <w:highlight w:val="none"/>
        </w:rPr>
      </w:pPr>
      <w:r>
        <w:rPr>
          <w:rFonts w:hint="eastAsia" w:ascii="Times New Roman" w:hAnsi="Times New Roman" w:eastAsia="楷体_GB2312"/>
          <w:b/>
          <w:sz w:val="32"/>
          <w:highlight w:val="none"/>
        </w:rPr>
        <w:t>（一）参展企业资格标准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1.</w:t>
      </w:r>
      <w:r>
        <w:rPr>
          <w:rFonts w:hint="eastAsia" w:ascii="仿宋_GB2312" w:hAnsi="仿宋" w:eastAsia="仿宋_GB2312" w:cs="仿宋_GB2312"/>
          <w:sz w:val="32"/>
          <w:highlight w:val="none"/>
        </w:rPr>
        <w:t>依法取得法人营业执照、进出口企业资格证书或对外贸易经营者备案登记证明，并已办理进出口企业代码；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b/>
          <w:sz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2.展品属于展区规定的展品范围（详见通告正文附件1）；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3.广交会统计口径下2020年度出口额达75万美元（含），或2020年度国内销售额达500万元人民币（含）。其中，出口额核定依据为海关统计，国内销售额核定依据为经交易团审核盖章的增值税纳税申报表。</w:t>
      </w:r>
    </w:p>
    <w:p>
      <w:pPr>
        <w:spacing w:line="600" w:lineRule="exact"/>
        <w:ind w:firstLine="630" w:firstLineChars="196"/>
        <w:rPr>
          <w:rFonts w:ascii="Times New Roman" w:hAnsi="Times New Roman" w:eastAsia="楷体_GB2312"/>
          <w:b/>
          <w:sz w:val="32"/>
          <w:highlight w:val="none"/>
        </w:rPr>
      </w:pPr>
      <w:r>
        <w:rPr>
          <w:rFonts w:hint="eastAsia" w:ascii="Times New Roman" w:hAnsi="Times New Roman" w:eastAsia="楷体_GB2312"/>
          <w:b/>
          <w:sz w:val="32"/>
          <w:highlight w:val="none"/>
        </w:rPr>
        <w:t>（二）属下列情况之一的展品禁止参展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1.《中国进出口商品交易会参展展品范围（出口展）》规定之外的展品。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2.不符合《中华人民共和国产品质量法》《中华人民共和国进出口商品检验法》及其他有关出口产品质量法律法规规定的展品。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3.涉及商标、专利、版权，但未取得合法权利证书或使用许可的展品。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4.</w:t>
      </w:r>
      <w:r>
        <w:rPr>
          <w:rFonts w:hint="eastAsia" w:ascii="仿宋_GB2312" w:hAnsi="仿宋" w:eastAsia="仿宋_GB2312" w:cs="仿宋_GB2312"/>
          <w:sz w:val="32"/>
          <w:highlight w:val="none"/>
        </w:rPr>
        <w:t>被司法机关、仲裁机关或知识产权行政管理机关认定侵权的展品。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5.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在商务或出入境检验检疫机构等质量监督管理部门有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不良记录且未经复检合格的展品。</w:t>
      </w:r>
    </w:p>
    <w:p>
      <w:pPr>
        <w:spacing w:line="600" w:lineRule="exact"/>
        <w:ind w:firstLine="630" w:firstLineChars="196"/>
        <w:rPr>
          <w:rFonts w:ascii="Times New Roman" w:hAnsi="Times New Roman" w:eastAsia="楷体_GB2312"/>
          <w:b/>
          <w:sz w:val="32"/>
          <w:highlight w:val="none"/>
        </w:rPr>
      </w:pPr>
      <w:r>
        <w:rPr>
          <w:rFonts w:hint="eastAsia" w:ascii="Times New Roman" w:hAnsi="Times New Roman" w:eastAsia="楷体_GB2312"/>
          <w:b/>
          <w:sz w:val="32"/>
          <w:highlight w:val="none"/>
        </w:rPr>
        <w:t>（三）属下列情况之一的企业禁止参展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1.商务部及地方各级商务主管部门向社会公告的违法违规企业，在公告期内禁止参展。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2.国家工商、海关、税务、质检、外汇、环保等部门通报的违法违规企业，在处罚期限内禁止参展；无处罚期限的，从处罚之日起连续六届禁止参展。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3.因违规转让或转（租）卖广交会展位、涉嫌重大展品质量与贸易纠纷投诉、知识产权侵权等违反大会相关规定，并处于被取消参展资格处罚期限内的企业。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4.因拒不服从大会管理、破坏展览秩序等其他行为，对广交会声誉或正常运营造成较大不良影响，被取消参展资格的企业。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二、参展申请材料清单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（一）经盖章确认的参展申请表（线下提交）；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（二）企业营业执照（线上提交）；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进出口企业资格证书或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外贸经营者备案登记证明（线上提交）；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（四）企业海关编码对应的海关报关注册登记证书，如需使用全资或控股子公司海关编码的，需提交相关股权关系的第三方证明文件（线上提交）；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（五）2020年国内销售额证明，即经交易团审核盖章的2020年度增值税纳税申报表（线下提交）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（六）符合申请展区展品范围的产品介绍、图片，以及相关发明专利、境外商标、行业认证及境外专业展参展相关证明等（线上提交）。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三、填报注意事项</w:t>
      </w:r>
    </w:p>
    <w:p>
      <w:pPr>
        <w:spacing w:line="600" w:lineRule="exact"/>
        <w:ind w:firstLine="63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（一）新能源、宠物用品展区下设展品专区，并对不同专区设置不同的展位安排标准，请务必如实谨慎填报，具体为：</w:t>
      </w:r>
    </w:p>
    <w:p>
      <w:pPr>
        <w:spacing w:line="600" w:lineRule="exact"/>
        <w:ind w:firstLine="63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新能源展区：太阳能光伏产品、太阳能光热产品、风能及其他新能源产品；</w:t>
      </w:r>
    </w:p>
    <w:p>
      <w:pPr>
        <w:spacing w:line="600" w:lineRule="exact"/>
        <w:ind w:firstLine="63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宠物用品展区：宠物用品、宠物食品。</w:t>
      </w:r>
    </w:p>
    <w:p>
      <w:pPr>
        <w:spacing w:line="600" w:lineRule="exact"/>
        <w:ind w:firstLine="63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二）根据海关编码统计的出口额，是展位安排的重要参考标准。请按操作指引对企业海关编码进行确认，允许使用全资或控股子公司海关编码，但须同时提供相关股权关系证明，且该子公司不得再申请该展区展位。</w:t>
      </w:r>
    </w:p>
    <w:p>
      <w:pPr>
        <w:rPr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129412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129412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sz w:val="16"/>
                          </w:rPr>
                          <w:fldChar w:fldCharType="begin"/>
                        </w:r>
                        <w:r>
                          <w:rPr>
                            <w:sz w:val="16"/>
                          </w:rPr>
                          <w:instrText xml:space="preserve"> PAGE   \* MERGEFORMAT </w:instrText>
                        </w:r>
                        <w:r>
                          <w:rPr>
                            <w:sz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lang w:val="zh-CN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333D1"/>
    <w:rsid w:val="074B198F"/>
    <w:rsid w:val="0C777F3E"/>
    <w:rsid w:val="0C9A69DE"/>
    <w:rsid w:val="15010818"/>
    <w:rsid w:val="15C333D1"/>
    <w:rsid w:val="1BCC20F7"/>
    <w:rsid w:val="22780BAB"/>
    <w:rsid w:val="2A376A14"/>
    <w:rsid w:val="316A70B2"/>
    <w:rsid w:val="429E1A46"/>
    <w:rsid w:val="6BA65BF9"/>
    <w:rsid w:val="6E0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2021-04-26T05:04:00Z</dcterms:created>
  <dc:creator>administrator</dc:creator>
  <cp:lastModifiedBy>斷麤嵞i</cp:lastModifiedBy>
  <dcterms:modified xsi:type="dcterms:W3CDTF">2021-04-28T02:18:16Z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4268C12DA8B44200A20BA758726C2870</vt:lpwstr>
  </property>
</Properties>
</file>