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黑体" w:hAnsi="Times New Roman" w:eastAsia="黑体"/>
          <w:sz w:val="32"/>
        </w:rPr>
      </w:pPr>
      <w:r>
        <w:rPr>
          <w:rFonts w:hint="eastAsia" w:ascii="黑体" w:hAnsi="Times New Roman" w:eastAsia="黑体"/>
          <w:sz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新能源、宠物用品展区展位申请相关说明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一、展位使用条件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 w:firstLineChars="196"/>
        <w:textAlignment w:val="auto"/>
        <w:outlineLvl w:val="9"/>
        <w:rPr>
          <w:rFonts w:ascii="Times New Roman" w:hAnsi="Times New Roman" w:eastAsia="楷体_GB2312"/>
          <w:b/>
          <w:sz w:val="32"/>
        </w:rPr>
      </w:pPr>
      <w:r>
        <w:rPr>
          <w:rFonts w:hint="eastAsia" w:ascii="Times New Roman" w:hAnsi="Times New Roman" w:eastAsia="楷体_GB2312"/>
          <w:b/>
          <w:sz w:val="32"/>
        </w:rPr>
        <w:t>（一）参展企业资格标准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sz w:val="32"/>
        </w:rPr>
        <w:t>依法取得法人营业执照、进出口企业资格证书或对外贸易经营者备案登记证明，并已办理进出口企业代码；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/>
          <w:sz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2.展品属于展区规定的展品范围（详见通告正文附件1）；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3.广交会统计口径下2020年度出口额达75万美元（含），或2020、2021年任一年度国内销售额达500万元人民币（含）。其中，出口额核定依据为海关统计，国内销售额核定依据为经交易团审核盖章的增值税纳税申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 w:firstLineChars="196"/>
        <w:textAlignment w:val="auto"/>
        <w:outlineLvl w:val="9"/>
        <w:rPr>
          <w:rFonts w:ascii="Times New Roman" w:hAnsi="Times New Roman" w:eastAsia="楷体_GB2312"/>
          <w:b/>
          <w:sz w:val="32"/>
        </w:rPr>
      </w:pPr>
      <w:r>
        <w:rPr>
          <w:rFonts w:hint="eastAsia" w:ascii="Times New Roman" w:hAnsi="Times New Roman" w:eastAsia="楷体_GB2312"/>
          <w:b/>
          <w:sz w:val="32"/>
        </w:rPr>
        <w:t>（二）属下列情况之一的展品禁止参展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1.《中国进出口商品交易会参展展品范围（出口展）》规定之外的展品。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2.不符合《中华人民共和国产品质量法》《中华人民共和国进出口商品检验法》及其他有关出口产品质量法律法规规定的展品。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3.涉及商标、专利、版权，但未取得合法权利证书或使用许可的展品。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sz w:val="32"/>
        </w:rPr>
        <w:t>被司法机关、仲裁机关或知识产权行政管理机关认定侵权的展品。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" w:eastAsia="仿宋_GB2312" w:cs="仿宋_GB2312"/>
          <w:sz w:val="32"/>
        </w:rPr>
        <w:t>5.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在商务或出入境检验检疫机构等质量监督管理部门有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不良记录且未经复检合格的展品。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 w:firstLineChars="196"/>
        <w:textAlignment w:val="auto"/>
        <w:outlineLvl w:val="9"/>
        <w:rPr>
          <w:rFonts w:ascii="Times New Roman" w:hAnsi="Times New Roman" w:eastAsia="楷体_GB2312"/>
          <w:b/>
          <w:sz w:val="32"/>
        </w:rPr>
      </w:pPr>
      <w:r>
        <w:rPr>
          <w:rFonts w:hint="eastAsia" w:ascii="Times New Roman" w:hAnsi="Times New Roman" w:eastAsia="楷体_GB2312"/>
          <w:b/>
          <w:sz w:val="32"/>
        </w:rPr>
        <w:t>（三）属下列情况之一的企业禁止参展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sz w:val="32"/>
        </w:rPr>
      </w:pPr>
      <w:r>
        <w:rPr>
          <w:rFonts w:hint="eastAsia" w:ascii="仿宋_GB2312" w:hAnsi="仿宋" w:eastAsia="仿宋_GB2312" w:cs="仿宋_GB2312"/>
          <w:sz w:val="32"/>
        </w:rPr>
        <w:t>1.商务部及地方各级商务主管部门向社会公告的违法违规企业，在公告期内禁止参展。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sz w:val="32"/>
        </w:rPr>
      </w:pPr>
      <w:r>
        <w:rPr>
          <w:rFonts w:hint="eastAsia" w:ascii="仿宋_GB2312" w:hAnsi="仿宋" w:eastAsia="仿宋_GB2312" w:cs="仿宋_GB2312"/>
          <w:sz w:val="32"/>
        </w:rPr>
        <w:t>2.国家工商、海关、税务、质检、外汇、环保等部门通报的违法违规企业，在处罚期限内禁止参展；无处罚期限的，从处罚之日起连续六届禁止参展。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sz w:val="32"/>
        </w:rPr>
      </w:pPr>
      <w:r>
        <w:rPr>
          <w:rFonts w:hint="eastAsia" w:ascii="仿宋_GB2312" w:hAnsi="仿宋" w:eastAsia="仿宋_GB2312" w:cs="仿宋_GB2312"/>
          <w:sz w:val="32"/>
        </w:rPr>
        <w:t>3.因违规转让或转（租）卖广交会展位、涉嫌重大展品质量与贸易纠纷投诉、知识产权侵权等违反大会相关规定，并处于被取消参展资格处罚期限内的企业。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sz w:val="32"/>
        </w:rPr>
      </w:pPr>
      <w:r>
        <w:rPr>
          <w:rFonts w:hint="eastAsia" w:ascii="仿宋_GB2312" w:hAnsi="仿宋" w:eastAsia="仿宋_GB2312" w:cs="仿宋_GB2312"/>
          <w:sz w:val="32"/>
        </w:rPr>
        <w:t>4.因拒不服从大会管理、破坏展览秩序等其他行为，对广交会声誉或正常运营造成较大不良影响，被取消参展资格的企业。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二、参展申请材料清单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（一）经盖章确认的参展申请表（线下提交）；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（二）企业营业执照（线上提交）；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</w:rPr>
        <w:t>进出口企业资格证书或</w:t>
      </w:r>
      <w:r>
        <w:rPr>
          <w:rFonts w:hint="eastAsia" w:ascii="仿宋_GB2312" w:hAnsi="仿宋_GB2312" w:eastAsia="仿宋_GB2312" w:cs="仿宋_GB2312"/>
          <w:sz w:val="32"/>
          <w:szCs w:val="32"/>
        </w:rPr>
        <w:t>外贸经营者备案登记证明（线上提交）；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（四）企业海关编码对应的海关报关注册登记证书，如需使用全资或控股子公司海关编码的，需提交相关股权关系的第三方证明文件（线上提交）；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（五）2020或2021年国内销售额证明，即经交易团审核盖章的度增值税纳税申报表，同时提交2020、2021年度证明的，取其高者作为安排依据（线下提交）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（六）符合申请展区展品范围的产品介绍、图片，以及相关发明专利、境外商标、行业认证及境外专业展参展相关证明等（线上提交）。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三、填报注意事项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（一）新能源、宠物用品展区下设展品专区，并对不同专区设置不同的展位安排标准，请务必如实谨慎填报，具体为：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新能源展区：太阳能光伏产品、太阳能光热产品、风能及其他新能源产品；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宠物用品展区：宠物用品、宠物食品。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根据海关编码统计的出口额，是展位安排的重要参考标准。请按操作指引对企业海关编码进行确认，允许使用全资或控股子公司海关编码，但须同时提供相关股权关系证明，且该子公司不得再申请该展区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四、退展位约束机制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在新能源、宠物用品参展企业展位数量安排经公示后确定公布之日起，至对应展区展位位置安排公布的前一天退展位的，所退展位收取一半展位费；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在新能源、宠物用品展区展位位置安排公布之日起退展位的，所退展位收取全额展位费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A726A"/>
    <w:rsid w:val="0CD45145"/>
    <w:rsid w:val="28EF5731"/>
    <w:rsid w:val="385E03A5"/>
    <w:rsid w:val="3A4A726A"/>
    <w:rsid w:val="3BFD17C7"/>
    <w:rsid w:val="3EAF1E56"/>
    <w:rsid w:val="4D9E7BA8"/>
    <w:rsid w:val="569F68F8"/>
    <w:rsid w:val="60D76766"/>
    <w:rsid w:val="7B9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2021-10-25T03:23:00Z</dcterms:created>
  <dc:creator>administrator</dc:creator>
  <cp:lastModifiedBy>斷麤嵞i</cp:lastModifiedBy>
  <dcterms:modified xsi:type="dcterms:W3CDTF">2021-10-26T08:37:41Z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4F2A534F3F4D45399D149598C0A704B1</vt:lpwstr>
  </property>
</Properties>
</file>