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b w:val="0"/>
          <w:bCs w:val="0"/>
          <w:color w:val="auto"/>
          <w:sz w:val="44"/>
          <w:szCs w:val="44"/>
          <w:highlight w:val="none"/>
          <w:lang w:val="en-US" w:eastAsia="zh-CN"/>
        </w:rPr>
        <w:t>会展场馆管理与服务规范</w:t>
      </w: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b w:val="0"/>
          <w:bCs w:val="0"/>
          <w:color w:val="auto"/>
          <w:sz w:val="44"/>
          <w:szCs w:val="44"/>
          <w:highlight w:val="none"/>
          <w:lang w:val="en-US" w:eastAsia="zh-CN"/>
        </w:rPr>
        <w:t>地方</w:t>
      </w:r>
      <w:r>
        <w:rPr>
          <w:rFonts w:hint="eastAsia" w:ascii="方正小标宋简体" w:hAnsi="方正小标宋简体" w:eastAsia="方正小标宋简体" w:cs="方正小标宋简体"/>
          <w:b w:val="0"/>
          <w:bCs w:val="0"/>
          <w:color w:val="auto"/>
          <w:sz w:val="44"/>
          <w:szCs w:val="44"/>
          <w:highlight w:val="none"/>
          <w:lang w:eastAsia="zh-CN"/>
        </w:rPr>
        <w:t>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bookmarkStart w:id="6" w:name="_GoBack"/>
      <w:bookmarkEnd w:id="6"/>
      <w:r>
        <w:rPr>
          <w:rFonts w:hint="eastAsia" w:ascii="方正小标宋简体" w:hAnsi="方正小标宋简体" w:eastAsia="方正小标宋简体" w:cs="方正小标宋简体"/>
          <w:b w:val="0"/>
          <w:bCs w:val="0"/>
          <w:color w:val="auto"/>
          <w:sz w:val="44"/>
          <w:szCs w:val="44"/>
          <w:highlight w:val="none"/>
          <w:lang w:eastAsia="zh-CN"/>
        </w:rPr>
        <w:t>编制说明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金山简标宋"/>
          <w:b/>
          <w:color w:val="auto"/>
          <w:sz w:val="24"/>
          <w:highlight w:val="none"/>
        </w:rPr>
      </w:pPr>
    </w:p>
    <w:p>
      <w:pPr>
        <w:pStyle w:val="3"/>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一、任务来源</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为全面贯彻落实党的二十大和二十届二中全会精神，根据</w:t>
      </w:r>
      <w:r>
        <w:rPr>
          <w:rFonts w:hint="eastAsia" w:ascii="仿宋" w:hAnsi="仿宋" w:eastAsia="仿宋" w:cs="仿宋"/>
          <w:color w:val="auto"/>
          <w:sz w:val="32"/>
          <w:szCs w:val="32"/>
          <w:highlight w:val="none"/>
        </w:rPr>
        <w:t>《国家标准化发展纲要》及行动计划的要求</w:t>
      </w:r>
      <w:r>
        <w:rPr>
          <w:rFonts w:hint="eastAsia" w:ascii="仿宋" w:hAnsi="仿宋" w:eastAsia="仿宋" w:cs="仿宋"/>
          <w:color w:val="auto"/>
          <w:sz w:val="32"/>
          <w:szCs w:val="32"/>
          <w:highlight w:val="none"/>
          <w:lang w:val="en-US" w:eastAsia="zh-CN"/>
        </w:rPr>
        <w:t>，推进服务业标准化、品牌化建设，健全服务业标准。同时进一步落实《广东省商务厅关于印发广东省推动会展业高质量发展若干措施的通知》（粤商务厅字〔2021〕26号）“加快制定会展企业等级划分、行业诚信、绿色发展、知识产权保护、安保、展馆现场监管等标准，逐步建立全省会展业标准体系”、“增强展馆运营管理服务质量，改善主要会展场馆周边会议、交通、酒店、消费、观光等配套设施建设，提升综合保障能力”的要求，特此编制《会展场馆管理与服务规范》标准。</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广东省市场监督管理局关于批准下达2023年第一批广东省地方标准制修订计划的通知》（粤市监标准〔2023〕211号），《会展场馆管理与服务规范》地方标准已于2023年5月正式列入广东省地方标准制修订计划，其提出单位是广东省商务厅，主导单位是广东亚联展览股份有限公司，主要起草单位是广东会展组展企业协会、广东亚联展览股份有限公司、广东双威国际会展有限公司、广州旗天展览策划有限公司、广州市昊明展览服务有限公司、深圳朗晖展示有限公司</w:t>
      </w:r>
      <w:r>
        <w:rPr>
          <w:rFonts w:hint="eastAsia" w:ascii="仿宋" w:hAnsi="仿宋" w:eastAsia="仿宋" w:cs="仿宋"/>
          <w:color w:val="auto"/>
          <w:sz w:val="32"/>
          <w:szCs w:val="32"/>
          <w:highlight w:val="none"/>
          <w:u w:val="none"/>
          <w:lang w:val="en-US" w:eastAsia="zh-CN"/>
        </w:rPr>
        <w:t>。</w:t>
      </w:r>
    </w:p>
    <w:p>
      <w:pPr>
        <w:pStyle w:val="3"/>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color w:val="auto"/>
          <w:sz w:val="32"/>
          <w:szCs w:val="32"/>
          <w:highlight w:val="none"/>
        </w:rPr>
        <w:t>二、目的和意义</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28"/>
          <w:highlight w:val="none"/>
          <w:lang w:val="en-US" w:eastAsia="zh-CN"/>
        </w:rPr>
      </w:pPr>
      <w:r>
        <w:rPr>
          <w:rFonts w:hint="eastAsia" w:ascii="仿宋" w:hAnsi="仿宋" w:eastAsia="仿宋" w:cs="仿宋"/>
          <w:color w:val="auto"/>
          <w:sz w:val="32"/>
          <w:szCs w:val="28"/>
          <w:highlight w:val="none"/>
          <w:lang w:val="en-US" w:eastAsia="zh-CN"/>
        </w:rPr>
        <w:t>会展业具有极大的产业带动效应，除直接产生经济效应外，还对社会和经济发展有着巨大的影响和催化作用，</w:t>
      </w:r>
      <w:r>
        <w:rPr>
          <w:rFonts w:hint="eastAsia" w:ascii="仿宋" w:hAnsi="仿宋" w:eastAsia="仿宋" w:cs="仿宋"/>
          <w:color w:val="auto"/>
          <w:sz w:val="32"/>
          <w:szCs w:val="32"/>
          <w:highlight w:val="none"/>
          <w:lang w:val="en-US" w:eastAsia="zh-CN"/>
        </w:rPr>
        <w:t>能够改善城市的产业结构，提升城市的形象，是构成城市竞争力的重要组成部分。</w:t>
      </w:r>
      <w:r>
        <w:rPr>
          <w:rFonts w:hint="eastAsia" w:ascii="仿宋" w:hAnsi="仿宋" w:eastAsia="仿宋" w:cs="仿宋"/>
          <w:color w:val="auto"/>
          <w:sz w:val="32"/>
          <w:szCs w:val="28"/>
          <w:highlight w:val="none"/>
          <w:lang w:val="en-US" w:eastAsia="zh-CN"/>
        </w:rPr>
        <w:t>会展业作为一个城市服务业的重要组成部分，对强化城市的服务职能也有积极推动作用。</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28"/>
          <w:highlight w:val="none"/>
          <w:lang w:val="en-US" w:eastAsia="zh-CN"/>
        </w:rPr>
      </w:pPr>
      <w:r>
        <w:rPr>
          <w:rFonts w:hint="eastAsia" w:ascii="仿宋" w:hAnsi="仿宋" w:eastAsia="仿宋" w:cs="仿宋"/>
          <w:color w:val="auto"/>
          <w:sz w:val="32"/>
          <w:szCs w:val="28"/>
          <w:highlight w:val="none"/>
          <w:lang w:val="en-US" w:eastAsia="zh-CN"/>
        </w:rPr>
        <w:t>随着我国经济的发展以及对外交流的深入，会展业的规模和影响力不断扩大。</w:t>
      </w:r>
      <w:r>
        <w:rPr>
          <w:rFonts w:hint="eastAsia" w:ascii="仿宋" w:hAnsi="仿宋" w:eastAsia="仿宋" w:cs="仿宋"/>
          <w:color w:val="auto"/>
          <w:sz w:val="32"/>
          <w:szCs w:val="32"/>
          <w:highlight w:val="none"/>
          <w:lang w:val="en-US" w:eastAsia="zh-CN"/>
        </w:rPr>
        <w:t>会展场馆在会展业的发展中担任着举足轻重的角色。</w:t>
      </w:r>
      <w:r>
        <w:rPr>
          <w:rFonts w:hint="eastAsia" w:ascii="仿宋" w:hAnsi="仿宋" w:eastAsia="仿宋" w:cs="仿宋"/>
          <w:color w:val="auto"/>
          <w:sz w:val="32"/>
          <w:szCs w:val="28"/>
          <w:highlight w:val="none"/>
          <w:lang w:val="en-US" w:eastAsia="zh-CN"/>
        </w:rPr>
        <w:t>高质量的会展活动对场地设施和服务提出了更高的要求，因此，规范化的会展场馆管理与服务标准成为行业发展的迫切需求。同时，各地政府和企业纷纷投资建设大型现代化会展场馆，竞争激烈，如何通过标准化、专业化管理提升服务质量，吸引更多优质会展项目，成为了场馆运营者必须面对的问题。另外，参会参展人员对于展览环境、服务品质、安全保障等方面的需求日益提升，促使会展场馆从硬件设施到软件服务全方位改进和优化。智能化、数字化技术在会展行业的广泛应用，使得场馆管理更加高效，同时催生了新的服务形态和质量标准。</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广东省展览数量、面积及展览馆规模处于全国领先水平，但仍缺乏会展场馆领域相关标准。《会展场馆管理与服务规范》一方面可以对会展场馆运营及使用方职责进行规定，以及展会项目主承办方、主场承建商的进场、展览产品要求、展览服务流程、消防、环境、物业等方面进行标准化管理，从而达到保障展会各方的生命财产安全；另一方面，可以帮助场馆提供适应展会主（承）办方、参展商和主场承建商需求的服务，能够确保展会顺利举办，为广东省会展业的高质量发展提供良好基础。本标准对提高会展行业场馆管理和服务能力，维护会展行业秩序，推动会展行业健康、规范、高效发展，具有重要的意义。</w:t>
      </w:r>
    </w:p>
    <w:p>
      <w:pPr>
        <w:pStyle w:val="3"/>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三、标准制定原则及主要内容</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（一）标准编制原则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w:t>
      </w:r>
      <w:r>
        <w:rPr>
          <w:rFonts w:hint="eastAsia" w:ascii="仿宋" w:hAnsi="仿宋" w:eastAsia="仿宋" w:cs="仿宋"/>
          <w:b/>
          <w:color w:val="auto"/>
          <w:sz w:val="32"/>
          <w:szCs w:val="32"/>
          <w:highlight w:val="none"/>
          <w:lang w:val="en-US" w:eastAsia="zh-CN"/>
        </w:rPr>
        <w:t>科学</w:t>
      </w:r>
      <w:r>
        <w:rPr>
          <w:rFonts w:hint="eastAsia" w:ascii="仿宋" w:hAnsi="仿宋" w:eastAsia="仿宋" w:cs="仿宋"/>
          <w:b/>
          <w:color w:val="auto"/>
          <w:sz w:val="32"/>
          <w:szCs w:val="32"/>
          <w:highlight w:val="none"/>
        </w:rPr>
        <w:t>性</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规范</w:t>
      </w:r>
      <w:r>
        <w:rPr>
          <w:rFonts w:hint="eastAsia" w:ascii="仿宋" w:hAnsi="仿宋" w:eastAsia="仿宋" w:cs="仿宋"/>
          <w:color w:val="auto"/>
          <w:sz w:val="32"/>
          <w:szCs w:val="32"/>
          <w:highlight w:val="none"/>
        </w:rPr>
        <w:t>的制定充分遵照国内相关法律法规，标准主要内容和各项</w:t>
      </w:r>
      <w:r>
        <w:rPr>
          <w:rFonts w:hint="eastAsia" w:ascii="仿宋" w:hAnsi="仿宋" w:eastAsia="仿宋" w:cs="仿宋"/>
          <w:color w:val="auto"/>
          <w:sz w:val="32"/>
          <w:szCs w:val="32"/>
          <w:highlight w:val="none"/>
          <w:lang w:val="en-US" w:eastAsia="zh-CN"/>
        </w:rPr>
        <w:t>技术要求</w:t>
      </w:r>
      <w:r>
        <w:rPr>
          <w:rFonts w:hint="eastAsia" w:ascii="仿宋" w:hAnsi="仿宋" w:eastAsia="仿宋" w:cs="仿宋"/>
          <w:color w:val="auto"/>
          <w:sz w:val="32"/>
          <w:szCs w:val="32"/>
          <w:highlight w:val="none"/>
        </w:rPr>
        <w:t>科学合理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本标准严格按照GB/T1.1-2020的规定编写，且确保与国家标准、行业标准中的术语和词汇保持一致，采用国家标准中规定的术语和广大用户熟悉的词汇。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.适用性</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本标准</w:t>
      </w:r>
      <w:r>
        <w:rPr>
          <w:rFonts w:hint="eastAsia" w:ascii="仿宋" w:hAnsi="仿宋" w:eastAsia="仿宋" w:cs="仿宋"/>
          <w:color w:val="auto"/>
          <w:sz w:val="32"/>
          <w:szCs w:val="32"/>
          <w:highlight w:val="none"/>
        </w:rPr>
        <w:t>旨在为</w:t>
      </w:r>
      <w:r>
        <w:rPr>
          <w:rFonts w:hint="eastAsia" w:ascii="仿宋" w:hAnsi="仿宋" w:eastAsia="仿宋" w:cs="仿宋"/>
          <w:color w:val="auto"/>
          <w:sz w:val="32"/>
          <w:szCs w:val="32"/>
          <w:highlight w:val="none"/>
          <w:lang w:val="en-US" w:eastAsia="zh-CN"/>
        </w:rPr>
        <w:t>会展行业场馆管理和服务</w:t>
      </w:r>
      <w:r>
        <w:rPr>
          <w:rFonts w:hint="eastAsia" w:ascii="仿宋" w:hAnsi="仿宋" w:eastAsia="仿宋" w:cs="仿宋"/>
          <w:color w:val="auto"/>
          <w:sz w:val="32"/>
          <w:szCs w:val="32"/>
          <w:highlight w:val="none"/>
        </w:rPr>
        <w:t>工作提供指导和建议，推动</w:t>
      </w:r>
      <w:r>
        <w:rPr>
          <w:rFonts w:hint="eastAsia" w:ascii="仿宋" w:hAnsi="仿宋" w:eastAsia="仿宋" w:cs="仿宋"/>
          <w:color w:val="auto"/>
          <w:sz w:val="32"/>
          <w:szCs w:val="32"/>
          <w:highlight w:val="none"/>
          <w:lang w:val="en-US" w:eastAsia="zh-CN"/>
        </w:rPr>
        <w:t>会展行业</w:t>
      </w:r>
      <w:r>
        <w:rPr>
          <w:rFonts w:hint="eastAsia" w:ascii="仿宋" w:hAnsi="仿宋" w:eastAsia="仿宋" w:cs="仿宋"/>
          <w:color w:val="auto"/>
          <w:sz w:val="32"/>
          <w:szCs w:val="32"/>
          <w:highlight w:val="none"/>
        </w:rPr>
        <w:t>健康发展，有效指导</w:t>
      </w:r>
      <w:r>
        <w:rPr>
          <w:rFonts w:hint="eastAsia" w:ascii="仿宋" w:hAnsi="仿宋" w:eastAsia="仿宋" w:cs="仿宋"/>
          <w:color w:val="auto"/>
          <w:sz w:val="32"/>
          <w:szCs w:val="32"/>
          <w:highlight w:val="none"/>
          <w:lang w:val="en-US" w:eastAsia="zh-CN"/>
        </w:rPr>
        <w:t>会展场馆管理方的日常管理工作及展会期间的场馆管理和服务工作</w:t>
      </w:r>
      <w:r>
        <w:rPr>
          <w:rFonts w:hint="eastAsia" w:ascii="仿宋" w:hAnsi="仿宋" w:eastAsia="仿宋" w:cs="仿宋"/>
          <w:color w:val="auto"/>
          <w:sz w:val="32"/>
          <w:szCs w:val="32"/>
          <w:highlight w:val="none"/>
        </w:rPr>
        <w:t>，提高</w:t>
      </w:r>
      <w:r>
        <w:rPr>
          <w:rFonts w:hint="eastAsia" w:ascii="仿宋" w:hAnsi="仿宋" w:eastAsia="仿宋" w:cs="仿宋"/>
          <w:color w:val="auto"/>
          <w:sz w:val="32"/>
          <w:szCs w:val="32"/>
          <w:highlight w:val="none"/>
          <w:lang w:val="en-US" w:eastAsia="zh-CN"/>
        </w:rPr>
        <w:t>场馆管理方的管理和服务综合实力</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3.协调性</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本标准的协调</w:t>
      </w:r>
      <w:r>
        <w:rPr>
          <w:rFonts w:hint="eastAsia" w:ascii="仿宋" w:hAnsi="仿宋" w:eastAsia="仿宋" w:cs="仿宋"/>
          <w:b w:val="0"/>
          <w:bCs/>
          <w:color w:val="auto"/>
          <w:sz w:val="32"/>
          <w:szCs w:val="32"/>
          <w:highlight w:val="none"/>
          <w:lang w:val="en-US" w:eastAsia="zh-CN"/>
        </w:rPr>
        <w:t>性</w:t>
      </w:r>
      <w:r>
        <w:rPr>
          <w:rFonts w:hint="eastAsia" w:ascii="仿宋" w:hAnsi="仿宋" w:eastAsia="仿宋" w:cs="仿宋"/>
          <w:color w:val="auto"/>
          <w:sz w:val="32"/>
          <w:szCs w:val="32"/>
          <w:highlight w:val="none"/>
          <w:lang w:val="en-US" w:eastAsia="zh-CN"/>
        </w:rPr>
        <w:t>是指符合国家政策，贯彻国家法律法规，与场馆管理和服务相关标准协调一致、衔接配套，符合会展行业场馆方的日常管理和展会期间管理服务要求。</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4.可操作性</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本标准的可操作性是指统筹考虑场馆管理和服务工作的特点与广东省会展场馆发展现状，尽可能全面地满足今后一定时期内场馆管理和服务等各方面需求，为场馆管理与服务提供更具实际意义的参考性文件。</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标准制订主要依据</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本标准根据《中华人民共和国标准化法》《广东省标准化条例》等规定，参考相关国家标准、行业标准和地方标准，结合行业的发展需要，按照GB/T 1.1-2020《标准化工作导则 第1部分：标准化文件的结构和起草规则》的规定，以及相关文件要求起草本标准。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本标准主要引用文件：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GB/T</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26165—2021  经济贸易展览会 术语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val="de-DE" w:eastAsia="zh-CN"/>
        </w:rPr>
      </w:pPr>
      <w:r>
        <w:rPr>
          <w:rFonts w:hint="eastAsia" w:ascii="仿宋" w:hAnsi="仿宋" w:eastAsia="仿宋" w:cs="仿宋"/>
          <w:color w:val="auto"/>
          <w:sz w:val="32"/>
          <w:szCs w:val="32"/>
          <w:highlight w:val="none"/>
          <w:lang w:val="en-US" w:eastAsia="zh-CN"/>
        </w:rPr>
        <w:t>DB44/T</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699—2009</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展览场馆服务质量规范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val="de-DE" w:eastAsia="zh-CN"/>
        </w:rPr>
      </w:pPr>
      <w:r>
        <w:rPr>
          <w:rFonts w:hint="eastAsia" w:ascii="仿宋" w:hAnsi="仿宋" w:eastAsia="仿宋" w:cs="仿宋"/>
          <w:color w:val="auto"/>
          <w:sz w:val="32"/>
          <w:szCs w:val="32"/>
          <w:highlight w:val="none"/>
          <w:lang w:val="en-US" w:eastAsia="zh-CN"/>
        </w:rPr>
        <w:t>GB/T</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36681—2018</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展览场馆服务管理规范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val="de-DE" w:eastAsia="zh-CN"/>
        </w:rPr>
      </w:pPr>
      <w:r>
        <w:rPr>
          <w:rFonts w:hint="eastAsia" w:ascii="仿宋" w:hAnsi="仿宋" w:eastAsia="仿宋" w:cs="仿宋"/>
          <w:color w:val="auto"/>
          <w:sz w:val="32"/>
          <w:szCs w:val="32"/>
          <w:highlight w:val="none"/>
          <w:lang w:val="en-US" w:eastAsia="zh-CN"/>
        </w:rPr>
        <w:t>DB45/T</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1363—2016</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展览场所消防安全规范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val="de-DE" w:eastAsia="zh-CN"/>
        </w:rPr>
      </w:pPr>
      <w:r>
        <w:rPr>
          <w:rFonts w:hint="eastAsia" w:ascii="仿宋" w:hAnsi="仿宋" w:eastAsia="仿宋" w:cs="仿宋"/>
          <w:color w:val="auto"/>
          <w:sz w:val="32"/>
          <w:szCs w:val="32"/>
          <w:highlight w:val="none"/>
          <w:lang w:val="en-US" w:eastAsia="zh-CN"/>
        </w:rPr>
        <w:t>GB/T</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41130—2021</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展览场馆安全管理基本要求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val="de-DE" w:eastAsia="zh-CN"/>
        </w:rPr>
      </w:pPr>
      <w:r>
        <w:rPr>
          <w:rFonts w:hint="eastAsia" w:ascii="仿宋" w:hAnsi="仿宋" w:eastAsia="仿宋" w:cs="仿宋"/>
          <w:color w:val="auto"/>
          <w:sz w:val="32"/>
          <w:szCs w:val="32"/>
          <w:highlight w:val="none"/>
          <w:lang w:val="en-US" w:eastAsia="zh-CN"/>
        </w:rPr>
        <w:t>GB</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13495.1—2015</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消防安全标志 第1部分：标志</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仿宋" w:hAnsi="仿宋" w:eastAsia="仿宋" w:cs="仿宋"/>
          <w:color w:val="auto"/>
          <w:sz w:val="32"/>
          <w:szCs w:val="32"/>
          <w:highlight w:val="none"/>
          <w:lang w:val="de-DE" w:eastAsia="zh-CN"/>
        </w:rPr>
      </w:pPr>
      <w:r>
        <w:rPr>
          <w:rFonts w:hint="eastAsia" w:ascii="仿宋" w:hAnsi="仿宋" w:eastAsia="仿宋" w:cs="仿宋"/>
          <w:color w:val="auto"/>
          <w:sz w:val="32"/>
          <w:szCs w:val="32"/>
          <w:highlight w:val="none"/>
          <w:lang w:val="en-US" w:eastAsia="zh-CN"/>
        </w:rPr>
        <w:t>DB33/T</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770—2020</w:t>
      </w:r>
      <w:r>
        <w:rPr>
          <w:rFonts w:hint="eastAsia" w:ascii="仿宋" w:hAnsi="仿宋" w:eastAsia="仿宋" w:cs="仿宋"/>
          <w:color w:val="auto"/>
          <w:sz w:val="32"/>
          <w:szCs w:val="32"/>
          <w:highlight w:val="none"/>
          <w:lang w:val="de-DE" w:eastAsia="zh-CN"/>
        </w:rPr>
        <w:t xml:space="preserve">  </w:t>
      </w:r>
      <w:r>
        <w:rPr>
          <w:rFonts w:hint="eastAsia" w:ascii="仿宋" w:hAnsi="仿宋" w:eastAsia="仿宋" w:cs="仿宋"/>
          <w:color w:val="auto"/>
          <w:sz w:val="32"/>
          <w:szCs w:val="32"/>
          <w:highlight w:val="none"/>
          <w:lang w:val="en-US" w:eastAsia="zh-CN"/>
        </w:rPr>
        <w:t>会展行业管理与服务规范</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（三）本标准的主要内容</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编写遵循“统一、协调、简化、优化”标准化原理。在</w:t>
      </w: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的主要结构框架、规范性要素的确定上仔细斟酌。在主要规范性技术要素的选择上进行了</w:t>
      </w:r>
      <w:r>
        <w:rPr>
          <w:rFonts w:hint="eastAsia" w:ascii="仿宋" w:hAnsi="仿宋" w:eastAsia="仿宋" w:cs="仿宋"/>
          <w:color w:val="auto"/>
          <w:sz w:val="32"/>
          <w:szCs w:val="32"/>
          <w:highlight w:val="none"/>
          <w:lang w:val="en-US" w:eastAsia="zh-CN"/>
        </w:rPr>
        <w:t>重点</w:t>
      </w:r>
      <w:r>
        <w:rPr>
          <w:rFonts w:hint="eastAsia" w:ascii="仿宋" w:hAnsi="仿宋" w:eastAsia="仿宋" w:cs="仿宋"/>
          <w:color w:val="auto"/>
          <w:sz w:val="32"/>
          <w:szCs w:val="32"/>
          <w:highlight w:val="none"/>
        </w:rPr>
        <w:t>研究</w:t>
      </w:r>
      <w:r>
        <w:rPr>
          <w:rFonts w:hint="eastAsia" w:ascii="仿宋" w:hAnsi="仿宋" w:eastAsia="仿宋" w:cs="仿宋"/>
          <w:color w:val="auto"/>
          <w:sz w:val="32"/>
          <w:szCs w:val="32"/>
          <w:highlight w:val="none"/>
          <w:lang w:eastAsia="zh-CN"/>
        </w:rPr>
        <w:t>，本文件主要包括以下主要内容：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仿宋" w:hAnsi="仿宋" w:eastAsia="仿宋" w:cs="仿宋"/>
          <w:b/>
          <w:color w:val="auto"/>
          <w:sz w:val="32"/>
          <w:szCs w:val="32"/>
          <w:highlight w:val="none"/>
          <w:lang w:val="en-US" w:eastAsia="zh-CN"/>
        </w:rPr>
      </w:pPr>
      <w:bookmarkStart w:id="0" w:name="_Toc463861393"/>
      <w:r>
        <w:rPr>
          <w:rFonts w:hint="eastAsia" w:ascii="仿宋" w:hAnsi="仿宋" w:eastAsia="仿宋" w:cs="仿宋"/>
          <w:b/>
          <w:color w:val="auto"/>
          <w:sz w:val="32"/>
          <w:szCs w:val="32"/>
          <w:highlight w:val="none"/>
          <w:lang w:val="en-US" w:eastAsia="zh-CN"/>
        </w:rPr>
        <w:t>1.标准的适用范围与结构</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本标准规定了会展场馆管理与服务的基本要求、分项要求及评价和改进要求等。本标准适用于会展场馆运营方及使用方对会展场馆活动期间的全程管理及服务。</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标准文件</w:t>
      </w:r>
      <w:r>
        <w:rPr>
          <w:rFonts w:hint="eastAsia" w:ascii="仿宋" w:hAnsi="仿宋" w:eastAsia="仿宋" w:cs="仿宋"/>
          <w:color w:val="auto"/>
          <w:sz w:val="32"/>
          <w:szCs w:val="32"/>
          <w:highlight w:val="none"/>
        </w:rPr>
        <w:t>根据目前</w:t>
      </w:r>
      <w:r>
        <w:rPr>
          <w:rFonts w:hint="eastAsia" w:ascii="仿宋" w:hAnsi="仿宋" w:eastAsia="仿宋" w:cs="仿宋"/>
          <w:color w:val="auto"/>
          <w:sz w:val="32"/>
          <w:szCs w:val="32"/>
          <w:highlight w:val="none"/>
          <w:lang w:val="en-US" w:eastAsia="zh-CN"/>
        </w:rPr>
        <w:t>会展行业展馆管理和服务的</w:t>
      </w:r>
      <w:r>
        <w:rPr>
          <w:rFonts w:hint="eastAsia" w:ascii="仿宋" w:hAnsi="仿宋" w:eastAsia="仿宋" w:cs="仿宋"/>
          <w:color w:val="auto"/>
          <w:sz w:val="32"/>
          <w:szCs w:val="32"/>
          <w:highlight w:val="none"/>
        </w:rPr>
        <w:t>标准、规范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从</w:t>
      </w:r>
      <w:r>
        <w:rPr>
          <w:rFonts w:hint="eastAsia" w:ascii="仿宋" w:hAnsi="仿宋" w:eastAsia="仿宋" w:cs="仿宋"/>
          <w:color w:val="auto"/>
          <w:sz w:val="32"/>
          <w:szCs w:val="32"/>
          <w:highlight w:val="none"/>
          <w:lang w:val="en-US" w:eastAsia="zh-CN"/>
        </w:rPr>
        <w:t>会展场馆管理方的基本要求、会展场馆服务和管理（包含场馆基本服务、水电气管理、消防管理、安全保卫管理、环境管理、交通管理、商务服务规范、会议管理、餐饮管理、票证和展会信息、仓储运输规范、广告发布管理）、评价与总结等</w:t>
      </w:r>
      <w:r>
        <w:rPr>
          <w:rFonts w:hint="eastAsia" w:ascii="仿宋" w:hAnsi="仿宋" w:eastAsia="仿宋" w:cs="仿宋"/>
          <w:color w:val="auto"/>
          <w:sz w:val="32"/>
          <w:szCs w:val="32"/>
          <w:highlight w:val="none"/>
        </w:rPr>
        <w:t>方面构建总体框架。</w:t>
      </w:r>
    </w:p>
    <w:bookmarkEnd w:id="0"/>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outlineLvl w:val="2"/>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2.基本要求</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第4章从</w:t>
      </w:r>
      <w:r>
        <w:rPr>
          <w:rFonts w:hint="eastAsia" w:ascii="仿宋" w:hAnsi="仿宋" w:eastAsia="仿宋" w:cs="仿宋"/>
          <w:color w:val="auto"/>
          <w:sz w:val="32"/>
          <w:szCs w:val="32"/>
          <w:highlight w:val="none"/>
          <w:lang w:val="en-US" w:eastAsia="zh-CN"/>
        </w:rPr>
        <w:t>场馆管理方组织、人员、场馆设备设施、管理体系4</w:t>
      </w:r>
      <w:r>
        <w:rPr>
          <w:rFonts w:hint="eastAsia" w:ascii="仿宋" w:hAnsi="仿宋" w:eastAsia="仿宋" w:cs="仿宋"/>
          <w:color w:val="auto"/>
          <w:sz w:val="32"/>
          <w:szCs w:val="32"/>
          <w:highlight w:val="none"/>
        </w:rPr>
        <w:t>个方面</w:t>
      </w:r>
      <w:r>
        <w:rPr>
          <w:rFonts w:hint="eastAsia" w:ascii="仿宋" w:hAnsi="仿宋" w:eastAsia="仿宋" w:cs="仿宋"/>
          <w:color w:val="auto"/>
          <w:sz w:val="32"/>
          <w:szCs w:val="32"/>
          <w:highlight w:val="none"/>
          <w:lang w:val="en-US" w:eastAsia="zh-CN"/>
        </w:rPr>
        <w:t>对会展场馆应满足的基本要求</w:t>
      </w:r>
      <w:r>
        <w:rPr>
          <w:rFonts w:hint="eastAsia" w:ascii="仿宋" w:hAnsi="仿宋" w:eastAsia="仿宋" w:cs="仿宋"/>
          <w:color w:val="auto"/>
          <w:sz w:val="32"/>
          <w:szCs w:val="32"/>
          <w:highlight w:val="none"/>
        </w:rPr>
        <w:t>进行</w:t>
      </w:r>
      <w:r>
        <w:rPr>
          <w:rFonts w:hint="eastAsia" w:ascii="仿宋" w:hAnsi="仿宋" w:eastAsia="仿宋" w:cs="仿宋"/>
          <w:color w:val="auto"/>
          <w:sz w:val="32"/>
          <w:szCs w:val="32"/>
          <w:highlight w:val="none"/>
          <w:lang w:val="en-US" w:eastAsia="zh-CN"/>
        </w:rPr>
        <w:t>描述。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3.会展场馆运营及使用方职责</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第5章</w:t>
      </w:r>
      <w:r>
        <w:rPr>
          <w:rFonts w:hint="eastAsia" w:ascii="仿宋" w:hAnsi="仿宋" w:eastAsia="仿宋" w:cs="仿宋"/>
          <w:color w:val="auto"/>
          <w:sz w:val="32"/>
          <w:szCs w:val="32"/>
          <w:highlight w:val="none"/>
          <w:lang w:val="en-US" w:eastAsia="zh-CN"/>
        </w:rPr>
        <w:t>规定了展会主（承）办方、场馆管理方、主场承建商在会展项目中各方的职责，以及对展会的内容合法性把控的要求等。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outlineLvl w:val="2"/>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4.会展场馆管理和服务</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章</w:t>
      </w:r>
      <w:r>
        <w:rPr>
          <w:rFonts w:hint="eastAsia" w:ascii="仿宋" w:hAnsi="仿宋" w:eastAsia="仿宋" w:cs="仿宋"/>
          <w:color w:val="auto"/>
          <w:sz w:val="32"/>
          <w:szCs w:val="32"/>
          <w:highlight w:val="none"/>
          <w:lang w:val="en-US" w:eastAsia="zh-CN"/>
        </w:rPr>
        <w:t>和第7章规定了场馆管理方为展会应提供的各项服务内容、服务流程及场馆水电气安全使用管理、消防管理、安保管理、环境管理、交通管理、商务服务管理、会议管理、餐饮管理、票证和展会信息、网络通讯、仓储运输、广告管理等。</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5.评价与总结</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文件第8章规定了场馆管理和服务的满意度调查、总结跟踪服务的方式方法。</w:t>
      </w:r>
    </w:p>
    <w:p>
      <w:pPr>
        <w:pStyle w:val="3"/>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四、主要工作过程</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rPr>
      </w:pPr>
      <w:bookmarkStart w:id="1" w:name="_Toc38550203"/>
      <w:bookmarkStart w:id="2" w:name="_Toc81550534"/>
      <w:bookmarkStart w:id="3" w:name="_Toc49768203"/>
      <w:bookmarkStart w:id="4" w:name="_Toc83614624"/>
      <w:bookmarkStart w:id="5" w:name="_Toc38452413"/>
      <w:r>
        <w:rPr>
          <w:rFonts w:hint="eastAsia" w:ascii="楷体" w:hAnsi="楷体" w:eastAsia="楷体" w:cs="楷体"/>
          <w:b/>
          <w:bCs/>
          <w:color w:val="auto"/>
          <w:sz w:val="32"/>
          <w:szCs w:val="32"/>
          <w:highlight w:val="none"/>
        </w:rPr>
        <w:t>（一）成立</w:t>
      </w:r>
      <w:r>
        <w:rPr>
          <w:rFonts w:hint="eastAsia" w:ascii="楷体" w:hAnsi="楷体" w:eastAsia="楷体" w:cs="楷体"/>
          <w:b/>
          <w:bCs/>
          <w:color w:val="auto"/>
          <w:sz w:val="32"/>
          <w:szCs w:val="32"/>
          <w:highlight w:val="none"/>
          <w:lang w:val="en-US" w:eastAsia="zh-CN"/>
        </w:rPr>
        <w:t>工作</w:t>
      </w:r>
      <w:r>
        <w:rPr>
          <w:rFonts w:hint="eastAsia" w:ascii="楷体" w:hAnsi="楷体" w:eastAsia="楷体" w:cs="楷体"/>
          <w:b/>
          <w:bCs/>
          <w:color w:val="auto"/>
          <w:sz w:val="32"/>
          <w:szCs w:val="32"/>
          <w:highlight w:val="none"/>
        </w:rPr>
        <w:t>组，</w:t>
      </w:r>
      <w:r>
        <w:rPr>
          <w:rFonts w:hint="eastAsia" w:ascii="楷体" w:hAnsi="楷体" w:eastAsia="楷体" w:cs="楷体"/>
          <w:b/>
          <w:bCs/>
          <w:color w:val="auto"/>
          <w:sz w:val="32"/>
          <w:szCs w:val="32"/>
          <w:highlight w:val="none"/>
          <w:lang w:val="en-US" w:eastAsia="zh-CN"/>
        </w:rPr>
        <w:t>制定</w:t>
      </w:r>
      <w:r>
        <w:rPr>
          <w:rFonts w:hint="eastAsia" w:ascii="楷体" w:hAnsi="楷体" w:eastAsia="楷体" w:cs="楷体"/>
          <w:b/>
          <w:bCs/>
          <w:color w:val="auto"/>
          <w:sz w:val="32"/>
          <w:szCs w:val="32"/>
          <w:highlight w:val="none"/>
        </w:rPr>
        <w:t>工作计划</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2023年5月，《会展场馆管理与服务规范》</w:t>
      </w:r>
      <w:r>
        <w:rPr>
          <w:rFonts w:hint="eastAsia" w:ascii="仿宋" w:hAnsi="仿宋" w:eastAsia="仿宋" w:cs="仿宋"/>
          <w:color w:val="auto"/>
          <w:sz w:val="32"/>
          <w:szCs w:val="32"/>
          <w:highlight w:val="none"/>
        </w:rPr>
        <w:t>经批准作为广东省地方标准正式立项后，</w:t>
      </w:r>
      <w:r>
        <w:rPr>
          <w:rFonts w:hint="eastAsia" w:ascii="仿宋" w:hAnsi="仿宋" w:eastAsia="仿宋" w:cs="仿宋"/>
          <w:color w:val="auto"/>
          <w:sz w:val="32"/>
          <w:szCs w:val="32"/>
          <w:highlight w:val="none"/>
          <w:lang w:val="en-US" w:eastAsia="zh-CN"/>
        </w:rPr>
        <w:t>广东亚联展览股份有限公司联合相关单位第一时间成立了由专家学者、行业专业人士以及多家企业负责人组成的标准编制工作组，负责标准的调研、编制与指导工作</w:t>
      </w:r>
      <w:r>
        <w:rPr>
          <w:rFonts w:hint="eastAsia" w:ascii="仿宋" w:hAnsi="仿宋" w:eastAsia="仿宋" w:cs="仿宋"/>
          <w:color w:val="auto"/>
          <w:sz w:val="32"/>
          <w:szCs w:val="32"/>
          <w:highlight w:val="none"/>
        </w:rPr>
        <w:t>。标准编制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组制定了工作计划并召开了编制组工作人员会议，</w:t>
      </w:r>
      <w:r>
        <w:rPr>
          <w:rFonts w:hint="eastAsia" w:ascii="仿宋" w:hAnsi="仿宋" w:eastAsia="仿宋" w:cs="仿宋"/>
          <w:color w:val="auto"/>
          <w:sz w:val="32"/>
          <w:szCs w:val="32"/>
          <w:highlight w:val="none"/>
          <w:lang w:val="en-US" w:eastAsia="zh-CN"/>
        </w:rPr>
        <w:t>制定了标准编制工作计划，</w:t>
      </w:r>
      <w:r>
        <w:rPr>
          <w:rFonts w:hint="eastAsia" w:ascii="仿宋" w:hAnsi="仿宋" w:eastAsia="仿宋" w:cs="仿宋"/>
          <w:color w:val="auto"/>
          <w:sz w:val="32"/>
          <w:szCs w:val="32"/>
          <w:highlight w:val="none"/>
        </w:rPr>
        <w:t>明确了任务要求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人员分工、</w:t>
      </w:r>
      <w:r>
        <w:rPr>
          <w:rFonts w:hint="eastAsia" w:ascii="仿宋" w:hAnsi="仿宋" w:eastAsia="仿宋" w:cs="仿宋"/>
          <w:color w:val="auto"/>
          <w:sz w:val="32"/>
          <w:szCs w:val="32"/>
          <w:highlight w:val="none"/>
        </w:rPr>
        <w:t>工作进度</w:t>
      </w:r>
      <w:r>
        <w:rPr>
          <w:rFonts w:hint="eastAsia" w:ascii="仿宋" w:hAnsi="仿宋" w:eastAsia="仿宋" w:cs="仿宋"/>
          <w:color w:val="auto"/>
          <w:sz w:val="32"/>
          <w:szCs w:val="32"/>
          <w:highlight w:val="none"/>
          <w:lang w:val="en-US" w:eastAsia="zh-CN"/>
        </w:rPr>
        <w:t>安排等</w:t>
      </w:r>
      <w:r>
        <w:rPr>
          <w:rFonts w:hint="eastAsia" w:ascii="仿宋" w:hAnsi="仿宋" w:eastAsia="仿宋" w:cs="仿宋"/>
          <w:color w:val="auto"/>
          <w:sz w:val="32"/>
          <w:szCs w:val="32"/>
          <w:highlight w:val="none"/>
          <w:lang w:eastAsia="zh-CN"/>
        </w:rPr>
        <w:t>，为推进项目顺利实施奠定了良好的基础。</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w:t>
      </w:r>
      <w:r>
        <w:rPr>
          <w:rFonts w:hint="eastAsia" w:ascii="楷体" w:hAnsi="楷体" w:eastAsia="楷体" w:cs="楷体"/>
          <w:b/>
          <w:bCs/>
          <w:color w:val="auto"/>
          <w:sz w:val="32"/>
          <w:szCs w:val="32"/>
          <w:highlight w:val="none"/>
          <w:lang w:val="en-US" w:eastAsia="zh-CN"/>
        </w:rPr>
        <w:t>开展调研，资料</w:t>
      </w:r>
      <w:r>
        <w:rPr>
          <w:rFonts w:hint="eastAsia" w:ascii="楷体" w:hAnsi="楷体" w:eastAsia="楷体" w:cs="楷体"/>
          <w:b/>
          <w:bCs/>
          <w:color w:val="auto"/>
          <w:sz w:val="32"/>
          <w:szCs w:val="32"/>
          <w:highlight w:val="none"/>
        </w:rPr>
        <w:t>分析、比较和研究</w:t>
      </w:r>
    </w:p>
    <w:p>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标准编制工作组自2023年5月起至9月底，针对会展行业场馆管理与服务标准的制定工作展开了全面且深入的研究与实地调研。期间，工作组系统梳理了国家层面和行业内已有的各类相关标准文件，广泛收集并整理了涵盖场馆管理规范、服务标准、学术研究论文在内的大量资料，对其中涉及的场馆运营机制、设施设备配置、安全管理措施、服务质量评价体系等内容进行了详尽研读。</w:t>
      </w:r>
    </w:p>
    <w:p>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文献调研的基础上，工作组进一步采取了实地考察的方式，亲赴江门、珠海、惠州以及佛山等地市，实地走访了一系列具有代表性的展馆运营企业，并组织开展了面对面的座谈交流会。通过与各展馆负责人及业务骨干的深度对话，工作组深入了解了各地展馆的具体管理规定、执行标准及其特色服务内容，掌握了丰富的第一手实践资料。</w:t>
      </w:r>
    </w:p>
    <w:p>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hint="eastAsia"/>
          <w:color w:val="auto"/>
          <w:highlight w:val="none"/>
        </w:rPr>
      </w:pPr>
      <w:r>
        <w:rPr>
          <w:rFonts w:hint="eastAsia" w:ascii="仿宋" w:hAnsi="仿宋" w:eastAsia="仿宋" w:cs="仿宋"/>
          <w:color w:val="auto"/>
          <w:sz w:val="32"/>
          <w:szCs w:val="32"/>
          <w:highlight w:val="none"/>
        </w:rPr>
        <w:t>同时，标准编制工作组对所收集到的所有关于场馆管理和服务的标准、文件进行了细致严谨的分析比较，不仅横向对比了不同地区和企业的现行做法，也纵向挖掘了其发展演变脉络与未来趋势。经过一系列密集的专家研讨会议，工作组就编制新标准的目的、基本原则、具体内容框架以及实施要求等核心议题达成了广泛的共识，制定了切实可行的工作实施方案。</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（三）形成标准草案</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标准</w:t>
      </w:r>
      <w:r>
        <w:rPr>
          <w:rFonts w:hint="eastAsia" w:ascii="仿宋" w:hAnsi="仿宋" w:eastAsia="仿宋" w:cs="仿宋"/>
          <w:color w:val="auto"/>
          <w:sz w:val="32"/>
          <w:szCs w:val="32"/>
          <w:highlight w:val="none"/>
        </w:rPr>
        <w:t>起草工作小组在广泛调研的基础上，按照标准化、通用化等要求，研究了</w:t>
      </w:r>
      <w:r>
        <w:rPr>
          <w:rFonts w:hint="eastAsia" w:ascii="仿宋" w:hAnsi="仿宋" w:eastAsia="仿宋" w:cs="仿宋"/>
          <w:color w:val="auto"/>
          <w:sz w:val="32"/>
          <w:szCs w:val="32"/>
          <w:highlight w:val="none"/>
          <w:lang w:val="en-US" w:eastAsia="zh-CN"/>
        </w:rPr>
        <w:t>科技成果评价</w:t>
      </w:r>
      <w:r>
        <w:rPr>
          <w:rFonts w:hint="eastAsia" w:ascii="仿宋" w:hAnsi="仿宋" w:eastAsia="仿宋" w:cs="仿宋"/>
          <w:color w:val="auto"/>
          <w:sz w:val="32"/>
          <w:szCs w:val="32"/>
          <w:highlight w:val="none"/>
          <w:lang w:eastAsia="zh-CN"/>
        </w:rPr>
        <w:t>的评价要求、评价内容、方法和评价程序</w:t>
      </w:r>
      <w:r>
        <w:rPr>
          <w:rFonts w:hint="eastAsia" w:ascii="仿宋" w:hAnsi="仿宋" w:eastAsia="仿宋" w:cs="仿宋"/>
          <w:color w:val="auto"/>
          <w:sz w:val="32"/>
          <w:szCs w:val="32"/>
          <w:highlight w:val="none"/>
        </w:rPr>
        <w:t>，确定了</w:t>
      </w:r>
      <w:r>
        <w:rPr>
          <w:rFonts w:hint="eastAsia" w:ascii="仿宋" w:hAnsi="仿宋" w:eastAsia="仿宋" w:cs="仿宋"/>
          <w:color w:val="auto"/>
          <w:sz w:val="32"/>
          <w:szCs w:val="32"/>
          <w:highlight w:val="none"/>
          <w:lang w:eastAsia="zh-CN"/>
        </w:rPr>
        <w:t>《会展场馆管理与服务规范》</w:t>
      </w:r>
      <w:r>
        <w:rPr>
          <w:rFonts w:hint="eastAsia" w:ascii="仿宋" w:hAnsi="仿宋" w:eastAsia="仿宋" w:cs="仿宋"/>
          <w:color w:val="auto"/>
          <w:sz w:val="32"/>
          <w:szCs w:val="32"/>
          <w:highlight w:val="none"/>
        </w:rPr>
        <w:t>的内容。依据GB/T1.1-20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《标准化工作导则第1部分：标准化文件的结构和起草规则》，对《</w:t>
      </w:r>
      <w:r>
        <w:rPr>
          <w:rFonts w:hint="eastAsia" w:ascii="仿宋" w:hAnsi="仿宋" w:eastAsia="仿宋" w:cs="仿宋"/>
          <w:color w:val="auto"/>
          <w:sz w:val="32"/>
          <w:szCs w:val="32"/>
          <w:highlight w:val="none"/>
          <w:lang w:eastAsia="zh-CN"/>
        </w:rPr>
        <w:t>会展场馆管理与服务规范</w:t>
      </w:r>
      <w:r>
        <w:rPr>
          <w:rFonts w:hint="eastAsia" w:ascii="仿宋" w:hAnsi="仿宋" w:eastAsia="仿宋" w:cs="仿宋"/>
          <w:color w:val="auto"/>
          <w:sz w:val="32"/>
          <w:szCs w:val="32"/>
          <w:highlight w:val="none"/>
        </w:rPr>
        <w:t>》开展了起草工作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编制过程中，多次在线上或线下召开讨论会议，共同研讨标准中的技术疑难点和关键点，经过编制组多次修改，于2023年</w:t>
      </w:r>
      <w:r>
        <w:rPr>
          <w:rFonts w:hint="eastAsia" w:ascii="仿宋" w:hAnsi="仿宋" w:eastAsia="仿宋" w:cs="仿宋"/>
          <w:color w:val="auto"/>
          <w:sz w:val="32"/>
          <w:szCs w:val="32"/>
          <w:highlight w:val="none"/>
          <w:u w:val="none"/>
          <w:lang w:val="en-US" w:eastAsia="zh-CN"/>
        </w:rPr>
        <w:t>10</w:t>
      </w:r>
      <w:r>
        <w:rPr>
          <w:rFonts w:hint="eastAsia" w:ascii="仿宋" w:hAnsi="仿宋" w:eastAsia="仿宋" w:cs="仿宋"/>
          <w:color w:val="auto"/>
          <w:sz w:val="32"/>
          <w:szCs w:val="32"/>
          <w:highlight w:val="none"/>
          <w:lang w:val="en-US" w:eastAsia="zh-CN"/>
        </w:rPr>
        <w:t>月形成了标准草案</w:t>
      </w:r>
      <w:r>
        <w:rPr>
          <w:rFonts w:hint="eastAsia" w:ascii="仿宋" w:hAnsi="仿宋" w:eastAsia="仿宋" w:cs="仿宋"/>
          <w:color w:val="auto"/>
          <w:sz w:val="32"/>
          <w:szCs w:val="32"/>
          <w:highlight w:val="none"/>
        </w:rPr>
        <w:t>。</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rPr>
        <w:t>（四）工作组集中工作</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形成征求意见稿</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w:t>
      </w:r>
      <w:r>
        <w:rPr>
          <w:rFonts w:hint="eastAsia" w:ascii="仿宋" w:hAnsi="仿宋" w:eastAsia="仿宋" w:cs="仿宋"/>
          <w:color w:val="auto"/>
          <w:sz w:val="32"/>
          <w:szCs w:val="32"/>
          <w:highlight w:val="none"/>
          <w:u w:val="none"/>
          <w:lang w:val="en-US" w:eastAsia="zh-CN"/>
        </w:rPr>
        <w:t>10</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—2024年2月</w:t>
      </w:r>
      <w:r>
        <w:rPr>
          <w:rFonts w:hint="eastAsia" w:ascii="仿宋" w:hAnsi="仿宋" w:eastAsia="仿宋" w:cs="仿宋"/>
          <w:color w:val="auto"/>
          <w:sz w:val="32"/>
          <w:szCs w:val="32"/>
          <w:highlight w:val="none"/>
        </w:rPr>
        <w:t>，标准编制工作组召开了多次工作会议，标准编制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组主要成员</w:t>
      </w:r>
      <w:r>
        <w:rPr>
          <w:rFonts w:hint="eastAsia" w:ascii="仿宋" w:hAnsi="仿宋" w:eastAsia="仿宋" w:cs="仿宋"/>
          <w:color w:val="auto"/>
          <w:sz w:val="32"/>
          <w:szCs w:val="32"/>
          <w:highlight w:val="none"/>
          <w:lang w:val="en-US" w:eastAsia="zh-CN"/>
        </w:rPr>
        <w:t>及行业专家、学者</w:t>
      </w:r>
      <w:r>
        <w:rPr>
          <w:rFonts w:hint="eastAsia" w:ascii="仿宋" w:hAnsi="仿宋" w:eastAsia="仿宋" w:cs="仿宋"/>
          <w:color w:val="auto"/>
          <w:sz w:val="32"/>
          <w:szCs w:val="32"/>
          <w:highlight w:val="none"/>
        </w:rPr>
        <w:t>参加了会议。从标准文本框架、内容、格式等方面</w:t>
      </w:r>
      <w:r>
        <w:rPr>
          <w:rFonts w:hint="eastAsia" w:ascii="仿宋" w:hAnsi="仿宋" w:eastAsia="仿宋" w:cs="仿宋"/>
          <w:color w:val="auto"/>
          <w:sz w:val="32"/>
          <w:szCs w:val="32"/>
          <w:highlight w:val="none"/>
          <w:lang w:val="en-US" w:eastAsia="zh-CN"/>
        </w:rPr>
        <w:t>对标准草案进行了全面讨论。标准编制工作组根据有关意见和建议对草案进行修改、调整及补充，形成了征求意见稿。</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（五）公开征求意见，形成送审稿</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2月29日至3月31日，标准编制工作组通过广东会展组展企业协会平台发布公告，面向全省公开征求意见。前后共收回50个单位反馈意见，其中有意见和建议的单位7个，无意见的单位43个。回函的建议或意见24条，其中采纳21条，部分采纳数1条，不采纳2条。工作组根据意见情况对标准进行修改，形成送审稿。</w:t>
      </w:r>
    </w:p>
    <w:bookmarkEnd w:id="1"/>
    <w:bookmarkEnd w:id="2"/>
    <w:bookmarkEnd w:id="3"/>
    <w:bookmarkEnd w:id="4"/>
    <w:bookmarkEnd w:id="5"/>
    <w:p>
      <w:pPr>
        <w:pStyle w:val="3"/>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五、标准重大分歧意见的处理经过和依据</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的制定过程中未出现重大的分歧意见。</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color w:val="auto"/>
          <w:highlight w:val="none"/>
        </w:rPr>
      </w:pPr>
      <w:r>
        <w:rPr>
          <w:rFonts w:hint="eastAsia" w:ascii="仿宋" w:hAnsi="仿宋" w:eastAsia="仿宋" w:cs="仿宋"/>
          <w:color w:val="auto"/>
          <w:sz w:val="32"/>
          <w:szCs w:val="32"/>
          <w:highlight w:val="none"/>
        </w:rPr>
        <w:t>本标准与现行相关法律、法规和强制性国家标准无冲突之处。</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六、作为强制性标准或推荐性标准的建议</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建议在本</w:t>
      </w: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通过审定后，尽快作为</w:t>
      </w:r>
      <w:r>
        <w:rPr>
          <w:rFonts w:hint="eastAsia" w:ascii="仿宋" w:hAnsi="仿宋" w:eastAsia="仿宋" w:cs="仿宋"/>
          <w:color w:val="auto"/>
          <w:sz w:val="32"/>
          <w:szCs w:val="32"/>
          <w:highlight w:val="none"/>
          <w:lang w:val="en-US" w:eastAsia="zh-CN"/>
        </w:rPr>
        <w:t>推荐性地方</w:t>
      </w:r>
      <w:r>
        <w:rPr>
          <w:rFonts w:hint="eastAsia" w:ascii="仿宋" w:hAnsi="仿宋" w:eastAsia="仿宋" w:cs="仿宋"/>
          <w:color w:val="auto"/>
          <w:sz w:val="32"/>
          <w:szCs w:val="32"/>
          <w:highlight w:val="none"/>
        </w:rPr>
        <w:t>标准发布、实施。</w:t>
      </w:r>
    </w:p>
    <w:p>
      <w:pPr>
        <w:pStyle w:val="3"/>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、贯彻标准的要求措施建议</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的后续应用实践过程中，建议做好：</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（一）组织宣贯</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发布实施后，计划组织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会展场馆管理与服务规范》的专题宣贯会议，做好相关企业的培训工作，满足场馆管理和服务应用的需求</w:t>
      </w:r>
      <w:r>
        <w:rPr>
          <w:rFonts w:hint="eastAsia" w:ascii="仿宋" w:hAnsi="仿宋" w:eastAsia="仿宋" w:cs="仿宋"/>
          <w:color w:val="auto"/>
          <w:sz w:val="32"/>
          <w:szCs w:val="32"/>
          <w:highlight w:val="none"/>
        </w:rPr>
        <w:t>。</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rPr>
        <w:t>（二）</w:t>
      </w:r>
      <w:r>
        <w:rPr>
          <w:rFonts w:hint="eastAsia" w:ascii="楷体" w:hAnsi="楷体" w:eastAsia="楷体" w:cs="楷体"/>
          <w:b/>
          <w:bCs/>
          <w:color w:val="auto"/>
          <w:sz w:val="32"/>
          <w:szCs w:val="32"/>
          <w:highlight w:val="none"/>
          <w:lang w:val="en-US" w:eastAsia="zh-CN"/>
        </w:rPr>
        <w:t>推广实施</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编制工作组</w:t>
      </w:r>
      <w:r>
        <w:rPr>
          <w:rFonts w:hint="eastAsia" w:ascii="仿宋" w:hAnsi="仿宋" w:eastAsia="仿宋" w:cs="仿宋"/>
          <w:color w:val="auto"/>
          <w:sz w:val="32"/>
          <w:szCs w:val="32"/>
          <w:highlight w:val="none"/>
        </w:rPr>
        <w:t>将</w:t>
      </w:r>
      <w:r>
        <w:rPr>
          <w:rFonts w:hint="eastAsia" w:ascii="仿宋" w:hAnsi="仿宋" w:eastAsia="仿宋" w:cs="仿宋"/>
          <w:color w:val="auto"/>
          <w:sz w:val="32"/>
          <w:szCs w:val="32"/>
          <w:highlight w:val="none"/>
          <w:lang w:val="en-US" w:eastAsia="zh-CN"/>
        </w:rPr>
        <w:t>对标准广泛宣传，并推荐具有代表性的会展场馆对标准先行试行，同时会同有关部门共同组织对标准实施进行监督检查，切实推动标准的落地实施，提升广东省会展场馆综合管理能力与服务水平，促进会展业高质量发展</w:t>
      </w:r>
      <w:r>
        <w:rPr>
          <w:rFonts w:hint="eastAsia" w:ascii="仿宋" w:hAnsi="仿宋" w:eastAsia="仿宋" w:cs="仿宋"/>
          <w:color w:val="auto"/>
          <w:sz w:val="32"/>
          <w:szCs w:val="32"/>
          <w:highlight w:val="none"/>
        </w:rPr>
        <w:t>。</w:t>
      </w:r>
    </w:p>
    <w:p>
      <w:pPr>
        <w:pStyle w:val="3"/>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九、废止现行有关标准的建议</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不存在可废除的对应</w:t>
      </w: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rPr>
        <w:t>。</w:t>
      </w:r>
    </w:p>
    <w:p>
      <w:pPr>
        <w:pStyle w:val="3"/>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十、本标准编制说明的附件</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w:t>
      </w:r>
    </w:p>
    <w:p>
      <w:pPr>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highlight w:val="none"/>
        </w:rPr>
      </w:pPr>
    </w:p>
    <w:p>
      <w:pPr>
        <w:pStyle w:val="2"/>
        <w:rPr>
          <w:rFonts w:hint="eastAsia"/>
        </w:rPr>
      </w:pPr>
    </w:p>
    <w:p>
      <w:pPr>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会展场馆管理与服务规范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编制</w:t>
      </w:r>
      <w:r>
        <w:rPr>
          <w:rFonts w:hint="eastAsia" w:ascii="仿宋" w:hAnsi="仿宋" w:eastAsia="仿宋" w:cs="仿宋"/>
          <w:color w:val="auto"/>
          <w:sz w:val="32"/>
          <w:szCs w:val="32"/>
          <w:highlight w:val="none"/>
        </w:rPr>
        <w:t>工作组</w:t>
      </w:r>
    </w:p>
    <w:p>
      <w:pPr>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C8B12F-7C1C-4AD3-BB1A-F6DC978837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0524650A-EBC3-49D1-BEDB-60E1039102C7}"/>
  </w:font>
  <w:font w:name="金山简标宋">
    <w:altName w:val="宋体"/>
    <w:panose1 w:val="00000000000000000000"/>
    <w:charset w:val="86"/>
    <w:family w:val="modern"/>
    <w:pitch w:val="default"/>
    <w:sig w:usb0="00000000" w:usb1="00000000" w:usb2="00000010" w:usb3="00000000" w:csb0="00040000" w:csb1="00000000"/>
    <w:embedRegular r:id="rId3" w:fontKey="{D1A67A5A-4C44-43AA-8D0D-D891BC73FF74}"/>
  </w:font>
  <w:font w:name="仿宋">
    <w:panose1 w:val="02010609060101010101"/>
    <w:charset w:val="86"/>
    <w:family w:val="auto"/>
    <w:pitch w:val="default"/>
    <w:sig w:usb0="800002BF" w:usb1="38CF7CFA" w:usb2="00000016" w:usb3="00000000" w:csb0="00040001" w:csb1="00000000"/>
    <w:embedRegular r:id="rId4" w:fontKey="{062B78A8-6124-4BBA-80E6-27C1A25BA790}"/>
  </w:font>
  <w:font w:name="楷体">
    <w:panose1 w:val="02010609060101010101"/>
    <w:charset w:val="86"/>
    <w:family w:val="auto"/>
    <w:pitch w:val="default"/>
    <w:sig w:usb0="800002BF" w:usb1="38CF7CFA" w:usb2="00000016" w:usb3="00000000" w:csb0="00040001" w:csb1="00000000"/>
    <w:embedRegular r:id="rId5" w:fontKey="{9472D698-2A27-48A1-AE7C-07A189DF1E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00184A38"/>
    <w:rsid w:val="0001127C"/>
    <w:rsid w:val="00013F9C"/>
    <w:rsid w:val="00017C7D"/>
    <w:rsid w:val="00023D6F"/>
    <w:rsid w:val="000451BD"/>
    <w:rsid w:val="00045C45"/>
    <w:rsid w:val="000933EB"/>
    <w:rsid w:val="00097565"/>
    <w:rsid w:val="000A0D03"/>
    <w:rsid w:val="000A43BD"/>
    <w:rsid w:val="000B67C6"/>
    <w:rsid w:val="000D2790"/>
    <w:rsid w:val="000D3B64"/>
    <w:rsid w:val="000D64B6"/>
    <w:rsid w:val="000D6DA9"/>
    <w:rsid w:val="000E007C"/>
    <w:rsid w:val="000E1E3E"/>
    <w:rsid w:val="00102CFA"/>
    <w:rsid w:val="00113F5D"/>
    <w:rsid w:val="00127B7C"/>
    <w:rsid w:val="00137951"/>
    <w:rsid w:val="00142D85"/>
    <w:rsid w:val="00153CE5"/>
    <w:rsid w:val="00163C9C"/>
    <w:rsid w:val="00184A38"/>
    <w:rsid w:val="001925C1"/>
    <w:rsid w:val="00194DDC"/>
    <w:rsid w:val="001A0EC6"/>
    <w:rsid w:val="001A169F"/>
    <w:rsid w:val="001A2271"/>
    <w:rsid w:val="001A4716"/>
    <w:rsid w:val="001A73DB"/>
    <w:rsid w:val="001B1187"/>
    <w:rsid w:val="001B7A37"/>
    <w:rsid w:val="001E1A42"/>
    <w:rsid w:val="001E7DAC"/>
    <w:rsid w:val="001F5A6E"/>
    <w:rsid w:val="001F6089"/>
    <w:rsid w:val="0020190C"/>
    <w:rsid w:val="00215266"/>
    <w:rsid w:val="002256A9"/>
    <w:rsid w:val="0023454C"/>
    <w:rsid w:val="002419BB"/>
    <w:rsid w:val="0025060E"/>
    <w:rsid w:val="00252CA7"/>
    <w:rsid w:val="00256390"/>
    <w:rsid w:val="00261D55"/>
    <w:rsid w:val="002716B2"/>
    <w:rsid w:val="00294A3C"/>
    <w:rsid w:val="00296D3E"/>
    <w:rsid w:val="002A3C95"/>
    <w:rsid w:val="002A47CB"/>
    <w:rsid w:val="002A5AA8"/>
    <w:rsid w:val="002A7453"/>
    <w:rsid w:val="002C24EF"/>
    <w:rsid w:val="002D40A2"/>
    <w:rsid w:val="002D5931"/>
    <w:rsid w:val="002F0C55"/>
    <w:rsid w:val="002F49B9"/>
    <w:rsid w:val="00303F84"/>
    <w:rsid w:val="00312D98"/>
    <w:rsid w:val="00316164"/>
    <w:rsid w:val="0033446C"/>
    <w:rsid w:val="003609B6"/>
    <w:rsid w:val="00371338"/>
    <w:rsid w:val="00391B2C"/>
    <w:rsid w:val="00391DC1"/>
    <w:rsid w:val="003933A6"/>
    <w:rsid w:val="00395908"/>
    <w:rsid w:val="00397E24"/>
    <w:rsid w:val="003A0025"/>
    <w:rsid w:val="003B0552"/>
    <w:rsid w:val="003B0C3E"/>
    <w:rsid w:val="003C0700"/>
    <w:rsid w:val="003C354F"/>
    <w:rsid w:val="003D6471"/>
    <w:rsid w:val="003E3A8D"/>
    <w:rsid w:val="003F0628"/>
    <w:rsid w:val="004050BA"/>
    <w:rsid w:val="00412194"/>
    <w:rsid w:val="00415F8B"/>
    <w:rsid w:val="004171B0"/>
    <w:rsid w:val="00421BD4"/>
    <w:rsid w:val="00422CA4"/>
    <w:rsid w:val="00430F36"/>
    <w:rsid w:val="00437A3A"/>
    <w:rsid w:val="00441058"/>
    <w:rsid w:val="00451ABD"/>
    <w:rsid w:val="00464D42"/>
    <w:rsid w:val="00476294"/>
    <w:rsid w:val="00477393"/>
    <w:rsid w:val="004818C9"/>
    <w:rsid w:val="004919D3"/>
    <w:rsid w:val="004B12E2"/>
    <w:rsid w:val="004D4C71"/>
    <w:rsid w:val="004E2D22"/>
    <w:rsid w:val="004F2205"/>
    <w:rsid w:val="004F5917"/>
    <w:rsid w:val="004F664A"/>
    <w:rsid w:val="00505810"/>
    <w:rsid w:val="00507715"/>
    <w:rsid w:val="005100EB"/>
    <w:rsid w:val="00514B1A"/>
    <w:rsid w:val="00525E46"/>
    <w:rsid w:val="00533030"/>
    <w:rsid w:val="00536D43"/>
    <w:rsid w:val="005429D5"/>
    <w:rsid w:val="00543388"/>
    <w:rsid w:val="005507F5"/>
    <w:rsid w:val="00553982"/>
    <w:rsid w:val="005548F9"/>
    <w:rsid w:val="00554A0E"/>
    <w:rsid w:val="005568E1"/>
    <w:rsid w:val="00557021"/>
    <w:rsid w:val="00557E49"/>
    <w:rsid w:val="00572DC1"/>
    <w:rsid w:val="005900D5"/>
    <w:rsid w:val="005A3B87"/>
    <w:rsid w:val="005B575C"/>
    <w:rsid w:val="005C0CE2"/>
    <w:rsid w:val="005C3962"/>
    <w:rsid w:val="005D1648"/>
    <w:rsid w:val="005D3E46"/>
    <w:rsid w:val="005D6BE6"/>
    <w:rsid w:val="005E439A"/>
    <w:rsid w:val="005F1FF5"/>
    <w:rsid w:val="00601295"/>
    <w:rsid w:val="00603ABD"/>
    <w:rsid w:val="00612C6D"/>
    <w:rsid w:val="00616855"/>
    <w:rsid w:val="00622F38"/>
    <w:rsid w:val="006377D1"/>
    <w:rsid w:val="00637BE8"/>
    <w:rsid w:val="00643C36"/>
    <w:rsid w:val="0065243F"/>
    <w:rsid w:val="0065627B"/>
    <w:rsid w:val="00657EDF"/>
    <w:rsid w:val="0067515F"/>
    <w:rsid w:val="00677F50"/>
    <w:rsid w:val="00682AEB"/>
    <w:rsid w:val="006942B2"/>
    <w:rsid w:val="00696667"/>
    <w:rsid w:val="006B5354"/>
    <w:rsid w:val="006C6B96"/>
    <w:rsid w:val="006E57A2"/>
    <w:rsid w:val="007021F3"/>
    <w:rsid w:val="00707193"/>
    <w:rsid w:val="00716980"/>
    <w:rsid w:val="00720B85"/>
    <w:rsid w:val="0075638E"/>
    <w:rsid w:val="0076564D"/>
    <w:rsid w:val="007706CA"/>
    <w:rsid w:val="00771E83"/>
    <w:rsid w:val="007735DD"/>
    <w:rsid w:val="00776ED3"/>
    <w:rsid w:val="007826A6"/>
    <w:rsid w:val="00783299"/>
    <w:rsid w:val="007837BF"/>
    <w:rsid w:val="007840F2"/>
    <w:rsid w:val="007975A4"/>
    <w:rsid w:val="007B19F2"/>
    <w:rsid w:val="007B31EB"/>
    <w:rsid w:val="007B320A"/>
    <w:rsid w:val="007D01E7"/>
    <w:rsid w:val="007D4279"/>
    <w:rsid w:val="007D43A2"/>
    <w:rsid w:val="007D43C3"/>
    <w:rsid w:val="007F1235"/>
    <w:rsid w:val="007F56FA"/>
    <w:rsid w:val="007F75EC"/>
    <w:rsid w:val="00804B11"/>
    <w:rsid w:val="00804C0E"/>
    <w:rsid w:val="008064A0"/>
    <w:rsid w:val="00806D5E"/>
    <w:rsid w:val="00826318"/>
    <w:rsid w:val="00831815"/>
    <w:rsid w:val="00831FEC"/>
    <w:rsid w:val="0083498A"/>
    <w:rsid w:val="00841EE4"/>
    <w:rsid w:val="00843D22"/>
    <w:rsid w:val="00843D2F"/>
    <w:rsid w:val="0088614C"/>
    <w:rsid w:val="0088730C"/>
    <w:rsid w:val="00890213"/>
    <w:rsid w:val="008A5483"/>
    <w:rsid w:val="008B6660"/>
    <w:rsid w:val="008B6B82"/>
    <w:rsid w:val="008C4CB8"/>
    <w:rsid w:val="008E4A58"/>
    <w:rsid w:val="008F32F4"/>
    <w:rsid w:val="009135EC"/>
    <w:rsid w:val="00916581"/>
    <w:rsid w:val="00916CD9"/>
    <w:rsid w:val="00917CC5"/>
    <w:rsid w:val="00940933"/>
    <w:rsid w:val="00955A11"/>
    <w:rsid w:val="0096090F"/>
    <w:rsid w:val="00960ED9"/>
    <w:rsid w:val="00971F85"/>
    <w:rsid w:val="00975474"/>
    <w:rsid w:val="00975939"/>
    <w:rsid w:val="009820E9"/>
    <w:rsid w:val="009908D2"/>
    <w:rsid w:val="00990C7A"/>
    <w:rsid w:val="009972EC"/>
    <w:rsid w:val="009A3B15"/>
    <w:rsid w:val="009A3B1A"/>
    <w:rsid w:val="009B0A4C"/>
    <w:rsid w:val="009C63C0"/>
    <w:rsid w:val="009D361F"/>
    <w:rsid w:val="009E053A"/>
    <w:rsid w:val="009E3E6C"/>
    <w:rsid w:val="009E714F"/>
    <w:rsid w:val="009F32DE"/>
    <w:rsid w:val="009F43E2"/>
    <w:rsid w:val="009F7843"/>
    <w:rsid w:val="00A018D1"/>
    <w:rsid w:val="00A07E12"/>
    <w:rsid w:val="00A1406E"/>
    <w:rsid w:val="00A15CC1"/>
    <w:rsid w:val="00A17836"/>
    <w:rsid w:val="00A2041E"/>
    <w:rsid w:val="00A2656A"/>
    <w:rsid w:val="00A27BFE"/>
    <w:rsid w:val="00A34A43"/>
    <w:rsid w:val="00A34AC0"/>
    <w:rsid w:val="00A353D1"/>
    <w:rsid w:val="00A41AEF"/>
    <w:rsid w:val="00A511AC"/>
    <w:rsid w:val="00A519E4"/>
    <w:rsid w:val="00A613C3"/>
    <w:rsid w:val="00A634F9"/>
    <w:rsid w:val="00A63673"/>
    <w:rsid w:val="00A678B2"/>
    <w:rsid w:val="00A76FCA"/>
    <w:rsid w:val="00A9332B"/>
    <w:rsid w:val="00A93980"/>
    <w:rsid w:val="00A96244"/>
    <w:rsid w:val="00AA09A0"/>
    <w:rsid w:val="00AA2F26"/>
    <w:rsid w:val="00AA41D3"/>
    <w:rsid w:val="00AA627F"/>
    <w:rsid w:val="00AB14BC"/>
    <w:rsid w:val="00AB20CB"/>
    <w:rsid w:val="00AB2D30"/>
    <w:rsid w:val="00AB5609"/>
    <w:rsid w:val="00AC08A7"/>
    <w:rsid w:val="00B336A5"/>
    <w:rsid w:val="00B3789C"/>
    <w:rsid w:val="00B46664"/>
    <w:rsid w:val="00B579C6"/>
    <w:rsid w:val="00B6505C"/>
    <w:rsid w:val="00B8725B"/>
    <w:rsid w:val="00B91548"/>
    <w:rsid w:val="00BA2C17"/>
    <w:rsid w:val="00BA77AD"/>
    <w:rsid w:val="00BB47D1"/>
    <w:rsid w:val="00BC474C"/>
    <w:rsid w:val="00BE03C1"/>
    <w:rsid w:val="00C0590D"/>
    <w:rsid w:val="00C154D6"/>
    <w:rsid w:val="00C21ABC"/>
    <w:rsid w:val="00C23740"/>
    <w:rsid w:val="00C24873"/>
    <w:rsid w:val="00C30B27"/>
    <w:rsid w:val="00C3419E"/>
    <w:rsid w:val="00C344C8"/>
    <w:rsid w:val="00C34F49"/>
    <w:rsid w:val="00C5730D"/>
    <w:rsid w:val="00C74A51"/>
    <w:rsid w:val="00C814C5"/>
    <w:rsid w:val="00C83376"/>
    <w:rsid w:val="00C90E68"/>
    <w:rsid w:val="00CA1FC9"/>
    <w:rsid w:val="00CB42B3"/>
    <w:rsid w:val="00CE3AAA"/>
    <w:rsid w:val="00CF2A9D"/>
    <w:rsid w:val="00D06872"/>
    <w:rsid w:val="00D27D6D"/>
    <w:rsid w:val="00D33196"/>
    <w:rsid w:val="00D37A68"/>
    <w:rsid w:val="00D4044E"/>
    <w:rsid w:val="00D419BD"/>
    <w:rsid w:val="00D44AC9"/>
    <w:rsid w:val="00D47E23"/>
    <w:rsid w:val="00D662F7"/>
    <w:rsid w:val="00D71618"/>
    <w:rsid w:val="00D86C24"/>
    <w:rsid w:val="00D92A44"/>
    <w:rsid w:val="00D94BEA"/>
    <w:rsid w:val="00D97197"/>
    <w:rsid w:val="00DB77A3"/>
    <w:rsid w:val="00DC6FEC"/>
    <w:rsid w:val="00DD05F8"/>
    <w:rsid w:val="00E06ECD"/>
    <w:rsid w:val="00E073FD"/>
    <w:rsid w:val="00E1432A"/>
    <w:rsid w:val="00E35731"/>
    <w:rsid w:val="00E56503"/>
    <w:rsid w:val="00E60B7D"/>
    <w:rsid w:val="00E65FE9"/>
    <w:rsid w:val="00E77D99"/>
    <w:rsid w:val="00E91B19"/>
    <w:rsid w:val="00E94051"/>
    <w:rsid w:val="00EA1E3C"/>
    <w:rsid w:val="00EA4607"/>
    <w:rsid w:val="00EB6AE8"/>
    <w:rsid w:val="00EC0AFD"/>
    <w:rsid w:val="00ED0CB6"/>
    <w:rsid w:val="00ED769A"/>
    <w:rsid w:val="00EF1C12"/>
    <w:rsid w:val="00F02ECA"/>
    <w:rsid w:val="00F07AB1"/>
    <w:rsid w:val="00F236EC"/>
    <w:rsid w:val="00F27DF8"/>
    <w:rsid w:val="00F32F99"/>
    <w:rsid w:val="00F36DBD"/>
    <w:rsid w:val="00F45401"/>
    <w:rsid w:val="00F5374F"/>
    <w:rsid w:val="00F53E09"/>
    <w:rsid w:val="00F60D58"/>
    <w:rsid w:val="00F65B09"/>
    <w:rsid w:val="00F752A6"/>
    <w:rsid w:val="00F815E1"/>
    <w:rsid w:val="00F816C0"/>
    <w:rsid w:val="00F82931"/>
    <w:rsid w:val="00F83E96"/>
    <w:rsid w:val="00F8537F"/>
    <w:rsid w:val="00FA7AD1"/>
    <w:rsid w:val="00FB2B9E"/>
    <w:rsid w:val="00FD6EF2"/>
    <w:rsid w:val="00FE63E2"/>
    <w:rsid w:val="00FF1B8A"/>
    <w:rsid w:val="00FF42D6"/>
    <w:rsid w:val="0131372E"/>
    <w:rsid w:val="019D72D4"/>
    <w:rsid w:val="022A5AA7"/>
    <w:rsid w:val="02A8425B"/>
    <w:rsid w:val="02FC2264"/>
    <w:rsid w:val="03930D22"/>
    <w:rsid w:val="03B72053"/>
    <w:rsid w:val="03B978B9"/>
    <w:rsid w:val="042816BE"/>
    <w:rsid w:val="04D22D03"/>
    <w:rsid w:val="04E92229"/>
    <w:rsid w:val="04EF0EAD"/>
    <w:rsid w:val="052A7B83"/>
    <w:rsid w:val="05467D77"/>
    <w:rsid w:val="06A44D39"/>
    <w:rsid w:val="073360BD"/>
    <w:rsid w:val="080C703A"/>
    <w:rsid w:val="08314CF2"/>
    <w:rsid w:val="08483072"/>
    <w:rsid w:val="08EB7DE5"/>
    <w:rsid w:val="09AB2883"/>
    <w:rsid w:val="0A01744B"/>
    <w:rsid w:val="0A821080"/>
    <w:rsid w:val="0B130CF8"/>
    <w:rsid w:val="0BA4442C"/>
    <w:rsid w:val="0D162444"/>
    <w:rsid w:val="0DEB76F2"/>
    <w:rsid w:val="0E4D2388"/>
    <w:rsid w:val="0E690B10"/>
    <w:rsid w:val="0ED87C76"/>
    <w:rsid w:val="0F1024A4"/>
    <w:rsid w:val="0F4845C5"/>
    <w:rsid w:val="1017289F"/>
    <w:rsid w:val="10EE74A4"/>
    <w:rsid w:val="11385877"/>
    <w:rsid w:val="11546752"/>
    <w:rsid w:val="11B07223"/>
    <w:rsid w:val="11B74E4B"/>
    <w:rsid w:val="13610A7B"/>
    <w:rsid w:val="13CF779C"/>
    <w:rsid w:val="151802FB"/>
    <w:rsid w:val="15D35531"/>
    <w:rsid w:val="15DF4CCA"/>
    <w:rsid w:val="16900E36"/>
    <w:rsid w:val="18D53221"/>
    <w:rsid w:val="18E15A31"/>
    <w:rsid w:val="1977008B"/>
    <w:rsid w:val="197D7D98"/>
    <w:rsid w:val="1B9E5DA3"/>
    <w:rsid w:val="1C832A0D"/>
    <w:rsid w:val="1D183012"/>
    <w:rsid w:val="1DD50587"/>
    <w:rsid w:val="1EBB6115"/>
    <w:rsid w:val="1F6B2440"/>
    <w:rsid w:val="204A3924"/>
    <w:rsid w:val="2099685D"/>
    <w:rsid w:val="23785418"/>
    <w:rsid w:val="23897791"/>
    <w:rsid w:val="23AB5BD2"/>
    <w:rsid w:val="24247062"/>
    <w:rsid w:val="24381077"/>
    <w:rsid w:val="243E3C03"/>
    <w:rsid w:val="24A26904"/>
    <w:rsid w:val="24FC0BCC"/>
    <w:rsid w:val="250D37A0"/>
    <w:rsid w:val="252160CC"/>
    <w:rsid w:val="25274005"/>
    <w:rsid w:val="25E02548"/>
    <w:rsid w:val="27292F06"/>
    <w:rsid w:val="27952750"/>
    <w:rsid w:val="283607E6"/>
    <w:rsid w:val="28941167"/>
    <w:rsid w:val="292C1D6B"/>
    <w:rsid w:val="2A6572C1"/>
    <w:rsid w:val="2ADC76B8"/>
    <w:rsid w:val="2BCE0A79"/>
    <w:rsid w:val="2C475FE3"/>
    <w:rsid w:val="2C7229F1"/>
    <w:rsid w:val="2C9011D3"/>
    <w:rsid w:val="2D3F045E"/>
    <w:rsid w:val="2D402400"/>
    <w:rsid w:val="2EA86337"/>
    <w:rsid w:val="2F08440B"/>
    <w:rsid w:val="2F127C9B"/>
    <w:rsid w:val="2F937320"/>
    <w:rsid w:val="303804AC"/>
    <w:rsid w:val="317433D6"/>
    <w:rsid w:val="31932498"/>
    <w:rsid w:val="31C870AD"/>
    <w:rsid w:val="31F00916"/>
    <w:rsid w:val="32843B1D"/>
    <w:rsid w:val="32FB6C99"/>
    <w:rsid w:val="346E6803"/>
    <w:rsid w:val="358B6966"/>
    <w:rsid w:val="364C33FD"/>
    <w:rsid w:val="366C400F"/>
    <w:rsid w:val="37076A9B"/>
    <w:rsid w:val="374E5EDD"/>
    <w:rsid w:val="38C033A5"/>
    <w:rsid w:val="38F21813"/>
    <w:rsid w:val="39F36EF5"/>
    <w:rsid w:val="3A172C28"/>
    <w:rsid w:val="3A3D7EDC"/>
    <w:rsid w:val="3B922BA9"/>
    <w:rsid w:val="3B9639C9"/>
    <w:rsid w:val="3C0E61D6"/>
    <w:rsid w:val="3C603D43"/>
    <w:rsid w:val="3D3E5A10"/>
    <w:rsid w:val="3DFD29A9"/>
    <w:rsid w:val="3F10787C"/>
    <w:rsid w:val="3F412822"/>
    <w:rsid w:val="3F5C2EE2"/>
    <w:rsid w:val="3F9C5FCC"/>
    <w:rsid w:val="3FB60D4F"/>
    <w:rsid w:val="400D645C"/>
    <w:rsid w:val="40475320"/>
    <w:rsid w:val="40E55F43"/>
    <w:rsid w:val="40F55CDF"/>
    <w:rsid w:val="41091FA3"/>
    <w:rsid w:val="41276683"/>
    <w:rsid w:val="414B60ED"/>
    <w:rsid w:val="425923E6"/>
    <w:rsid w:val="44384737"/>
    <w:rsid w:val="44C241A2"/>
    <w:rsid w:val="450A544D"/>
    <w:rsid w:val="453C65D5"/>
    <w:rsid w:val="45AB7E26"/>
    <w:rsid w:val="45C06792"/>
    <w:rsid w:val="46AB59D0"/>
    <w:rsid w:val="47B71E17"/>
    <w:rsid w:val="47D77DC3"/>
    <w:rsid w:val="482A6C89"/>
    <w:rsid w:val="484566D7"/>
    <w:rsid w:val="48A51EEA"/>
    <w:rsid w:val="48FC076E"/>
    <w:rsid w:val="49F70B0E"/>
    <w:rsid w:val="4A0E73A8"/>
    <w:rsid w:val="4AAF7998"/>
    <w:rsid w:val="4B977F95"/>
    <w:rsid w:val="4C32176A"/>
    <w:rsid w:val="4CCE3E8B"/>
    <w:rsid w:val="4CFE5A61"/>
    <w:rsid w:val="4DF826FD"/>
    <w:rsid w:val="50001E14"/>
    <w:rsid w:val="51340BAA"/>
    <w:rsid w:val="513A0656"/>
    <w:rsid w:val="52DB356D"/>
    <w:rsid w:val="537660AA"/>
    <w:rsid w:val="53844331"/>
    <w:rsid w:val="53A74C70"/>
    <w:rsid w:val="53D004E8"/>
    <w:rsid w:val="54212386"/>
    <w:rsid w:val="5484745B"/>
    <w:rsid w:val="548B440F"/>
    <w:rsid w:val="55BE4A6C"/>
    <w:rsid w:val="560F7542"/>
    <w:rsid w:val="569E4E93"/>
    <w:rsid w:val="56AC0E10"/>
    <w:rsid w:val="576B5B9C"/>
    <w:rsid w:val="57D61E46"/>
    <w:rsid w:val="589A03BC"/>
    <w:rsid w:val="5BCC5A39"/>
    <w:rsid w:val="5BE24306"/>
    <w:rsid w:val="5BF77619"/>
    <w:rsid w:val="5D30024A"/>
    <w:rsid w:val="5D3F24AB"/>
    <w:rsid w:val="5DE84681"/>
    <w:rsid w:val="5DED1C97"/>
    <w:rsid w:val="5E9179BE"/>
    <w:rsid w:val="5F5519EC"/>
    <w:rsid w:val="5FF53085"/>
    <w:rsid w:val="60D972EA"/>
    <w:rsid w:val="61734BA9"/>
    <w:rsid w:val="619C7E55"/>
    <w:rsid w:val="61E367E9"/>
    <w:rsid w:val="629D42B2"/>
    <w:rsid w:val="63D222CD"/>
    <w:rsid w:val="664C6B61"/>
    <w:rsid w:val="665D643A"/>
    <w:rsid w:val="66A41056"/>
    <w:rsid w:val="66CF1E96"/>
    <w:rsid w:val="66F26A2B"/>
    <w:rsid w:val="675F1167"/>
    <w:rsid w:val="67CA4DF7"/>
    <w:rsid w:val="68D1591E"/>
    <w:rsid w:val="68D90998"/>
    <w:rsid w:val="68EF720B"/>
    <w:rsid w:val="6A5F1306"/>
    <w:rsid w:val="6C78605D"/>
    <w:rsid w:val="6C861CC3"/>
    <w:rsid w:val="6D0F4B4D"/>
    <w:rsid w:val="6D170FD1"/>
    <w:rsid w:val="6D926769"/>
    <w:rsid w:val="6DCE52BE"/>
    <w:rsid w:val="6DD05384"/>
    <w:rsid w:val="6E6E1BAC"/>
    <w:rsid w:val="6F421976"/>
    <w:rsid w:val="702930A5"/>
    <w:rsid w:val="70693F83"/>
    <w:rsid w:val="70A46B2D"/>
    <w:rsid w:val="70CB07E5"/>
    <w:rsid w:val="721838C7"/>
    <w:rsid w:val="72875EAD"/>
    <w:rsid w:val="758F7174"/>
    <w:rsid w:val="766D494B"/>
    <w:rsid w:val="76D57A40"/>
    <w:rsid w:val="786E4432"/>
    <w:rsid w:val="7894021D"/>
    <w:rsid w:val="790A29F7"/>
    <w:rsid w:val="7A11166F"/>
    <w:rsid w:val="7B7B048A"/>
    <w:rsid w:val="7B9417EB"/>
    <w:rsid w:val="7B995BD6"/>
    <w:rsid w:val="7B9C3E8F"/>
    <w:rsid w:val="7BA06143"/>
    <w:rsid w:val="7C3915B2"/>
    <w:rsid w:val="7C3D5D94"/>
    <w:rsid w:val="7CCC3C96"/>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39"/>
    <w:pPr>
      <w:tabs>
        <w:tab w:val="right" w:leader="dot" w:pos="9345"/>
      </w:tabs>
    </w:pPr>
    <w:rPr>
      <w:rFonts w:hAnsi="宋体"/>
      <w:color w:val="0000FF"/>
      <w:szCs w:val="21"/>
    </w:rPr>
  </w:style>
  <w:style w:type="paragraph" w:styleId="4">
    <w:name w:val="annotation text"/>
    <w:basedOn w:val="1"/>
    <w:link w:val="25"/>
    <w:autoRedefine/>
    <w:semiHidden/>
    <w:unhideWhenUsed/>
    <w:qFormat/>
    <w:uiPriority w:val="99"/>
    <w:pPr>
      <w:jc w:val="left"/>
    </w:pPr>
  </w:style>
  <w:style w:type="paragraph" w:styleId="5">
    <w:name w:val="Body Text"/>
    <w:basedOn w:val="1"/>
    <w:link w:val="22"/>
    <w:autoRedefine/>
    <w:semiHidden/>
    <w:unhideWhenUsed/>
    <w:qFormat/>
    <w:uiPriority w:val="0"/>
    <w:pPr>
      <w:spacing w:after="120"/>
    </w:pPr>
    <w:rPr>
      <w:rFonts w:ascii="Times New Roman" w:hAnsi="Times New Roman"/>
      <w:szCs w:val="20"/>
    </w:rPr>
  </w:style>
  <w:style w:type="paragraph" w:styleId="6">
    <w:name w:val="Balloon Text"/>
    <w:basedOn w:val="1"/>
    <w:link w:val="21"/>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4"/>
    <w:autoRedefine/>
    <w:semiHidden/>
    <w:unhideWhenUsed/>
    <w:qFormat/>
    <w:uiPriority w:val="99"/>
    <w:pPr>
      <w:spacing w:after="120"/>
      <w:ind w:left="420" w:leftChars="200"/>
    </w:pPr>
    <w:rPr>
      <w:sz w:val="16"/>
      <w:szCs w:val="16"/>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18"/>
      <w:szCs w:val="18"/>
    </w:rPr>
  </w:style>
  <w:style w:type="paragraph" w:styleId="11">
    <w:name w:val="annotation subject"/>
    <w:basedOn w:val="4"/>
    <w:next w:val="4"/>
    <w:link w:val="26"/>
    <w:autoRedefine/>
    <w:semiHidden/>
    <w:unhideWhenUsed/>
    <w:qFormat/>
    <w:uiPriority w:val="99"/>
    <w:rPr>
      <w:b/>
      <w:bCs/>
    </w:rPr>
  </w:style>
  <w:style w:type="character" w:styleId="14">
    <w:name w:val="Strong"/>
    <w:basedOn w:val="13"/>
    <w:autoRedefine/>
    <w:qFormat/>
    <w:uiPriority w:val="22"/>
    <w:rPr>
      <w:b/>
    </w:rPr>
  </w:style>
  <w:style w:type="character" w:styleId="15">
    <w:name w:val="Emphasis"/>
    <w:autoRedefine/>
    <w:qFormat/>
    <w:uiPriority w:val="20"/>
    <w:rPr>
      <w:color w:val="CC0033"/>
    </w:rPr>
  </w:style>
  <w:style w:type="character" w:styleId="16">
    <w:name w:val="annotation reference"/>
    <w:basedOn w:val="13"/>
    <w:autoRedefine/>
    <w:semiHidden/>
    <w:unhideWhenUsed/>
    <w:qFormat/>
    <w:uiPriority w:val="99"/>
    <w:rPr>
      <w:sz w:val="21"/>
      <w:szCs w:val="21"/>
    </w:rPr>
  </w:style>
  <w:style w:type="character" w:customStyle="1" w:styleId="17">
    <w:name w:val="页眉 Char"/>
    <w:link w:val="8"/>
    <w:autoRedefine/>
    <w:qFormat/>
    <w:uiPriority w:val="99"/>
    <w:rPr>
      <w:sz w:val="18"/>
      <w:szCs w:val="18"/>
    </w:rPr>
  </w:style>
  <w:style w:type="character" w:customStyle="1" w:styleId="18">
    <w:name w:val="页脚 Char"/>
    <w:link w:val="7"/>
    <w:autoRedefine/>
    <w:qFormat/>
    <w:uiPriority w:val="99"/>
    <w:rPr>
      <w:sz w:val="18"/>
      <w:szCs w:val="18"/>
    </w:rPr>
  </w:style>
  <w:style w:type="paragraph" w:customStyle="1" w:styleId="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st"/>
    <w:basedOn w:val="13"/>
    <w:autoRedefine/>
    <w:qFormat/>
    <w:uiPriority w:val="0"/>
  </w:style>
  <w:style w:type="character" w:customStyle="1" w:styleId="21">
    <w:name w:val="批注框文本 Char"/>
    <w:link w:val="6"/>
    <w:autoRedefine/>
    <w:semiHidden/>
    <w:qFormat/>
    <w:uiPriority w:val="99"/>
    <w:rPr>
      <w:sz w:val="18"/>
      <w:szCs w:val="18"/>
    </w:rPr>
  </w:style>
  <w:style w:type="character" w:customStyle="1" w:styleId="22">
    <w:name w:val="正文文本 Char"/>
    <w:link w:val="5"/>
    <w:autoRedefine/>
    <w:semiHidden/>
    <w:qFormat/>
    <w:uiPriority w:val="0"/>
    <w:rPr>
      <w:rFonts w:ascii="Times New Roman" w:hAnsi="Times New Roman"/>
      <w:kern w:val="2"/>
      <w:sz w:val="21"/>
    </w:rPr>
  </w:style>
  <w:style w:type="character" w:customStyle="1" w:styleId="23">
    <w:name w:val="ymy-zw"/>
    <w:autoRedefine/>
    <w:qFormat/>
    <w:uiPriority w:val="0"/>
  </w:style>
  <w:style w:type="character" w:customStyle="1" w:styleId="24">
    <w:name w:val="正文文本缩进 3 Char"/>
    <w:link w:val="9"/>
    <w:autoRedefine/>
    <w:semiHidden/>
    <w:qFormat/>
    <w:uiPriority w:val="99"/>
    <w:rPr>
      <w:kern w:val="2"/>
      <w:sz w:val="16"/>
      <w:szCs w:val="16"/>
    </w:rPr>
  </w:style>
  <w:style w:type="character" w:customStyle="1" w:styleId="25">
    <w:name w:val="批注文字 Char"/>
    <w:basedOn w:val="13"/>
    <w:link w:val="4"/>
    <w:autoRedefine/>
    <w:semiHidden/>
    <w:qFormat/>
    <w:uiPriority w:val="99"/>
    <w:rPr>
      <w:kern w:val="2"/>
      <w:sz w:val="21"/>
      <w:szCs w:val="22"/>
    </w:rPr>
  </w:style>
  <w:style w:type="character" w:customStyle="1" w:styleId="26">
    <w:name w:val="批注主题 Char"/>
    <w:basedOn w:val="25"/>
    <w:link w:val="11"/>
    <w:autoRedefine/>
    <w:semiHidden/>
    <w:qFormat/>
    <w:uiPriority w:val="99"/>
    <w:rPr>
      <w:b/>
      <w:bCs/>
      <w:kern w:val="2"/>
      <w:sz w:val="21"/>
      <w:szCs w:val="22"/>
    </w:rPr>
  </w:style>
  <w:style w:type="paragraph" w:customStyle="1" w:styleId="27">
    <w:name w:val="Revision"/>
    <w:autoRedefine/>
    <w:hidden/>
    <w:semiHidden/>
    <w:qFormat/>
    <w:uiPriority w:val="99"/>
    <w:rPr>
      <w:rFonts w:ascii="Calibri" w:hAnsi="Calibri" w:eastAsia="宋体" w:cs="Times New Roman"/>
      <w:kern w:val="2"/>
      <w:sz w:val="21"/>
      <w:szCs w:val="22"/>
      <w:lang w:val="en-US" w:eastAsia="zh-CN" w:bidi="ar-SA"/>
    </w:rPr>
  </w:style>
  <w:style w:type="paragraph" w:styleId="28">
    <w:name w:val="List Paragraph"/>
    <w:basedOn w:val="1"/>
    <w:autoRedefine/>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3B6A4-A687-4769-A447-4AF3AFE8421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9</Pages>
  <Words>3309</Words>
  <Characters>3461</Characters>
  <Lines>30</Lines>
  <Paragraphs>8</Paragraphs>
  <TotalTime>1</TotalTime>
  <ScaleCrop>false</ScaleCrop>
  <LinksUpToDate>false</LinksUpToDate>
  <CharactersWithSpaces>3468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2017-10-13T08:39:00Z</dcterms:created>
  <dc:creator>Daniel</dc:creator>
  <cp:lastModifiedBy>陈晓凤</cp:lastModifiedBy>
  <cp:lastPrinted>2022-10-13T08:24:00Z</cp:lastPrinted>
  <dcterms:modified xsi:type="dcterms:W3CDTF">2024-06-03T01:38:40Z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64983F89C3E14D2589A6B092B4BF1F26_13</vt:lpwstr>
  </property>
</Properties>
</file>