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5A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黑体" w:hAnsi="黑体" w:eastAsia="黑体" w:cs="黑体"/>
          <w:kern w:val="2"/>
          <w:sz w:val="32"/>
          <w:szCs w:val="32"/>
          <w:u w:val="none" w:color="auto"/>
          <w:lang w:val="en-US" w:eastAsia="zh-CN" w:bidi="ar-SA"/>
        </w:rPr>
      </w:pPr>
      <w:r>
        <w:rPr>
          <w:rFonts w:hint="eastAsia" w:ascii="黑体" w:hAnsi="黑体" w:eastAsia="黑体" w:cs="黑体"/>
          <w:kern w:val="2"/>
          <w:sz w:val="32"/>
          <w:szCs w:val="32"/>
          <w:u w:val="none" w:color="auto"/>
          <w:lang w:val="en-US" w:eastAsia="zh-CN" w:bidi="ar-SA"/>
        </w:rPr>
        <w:t>附件</w:t>
      </w:r>
      <w:bookmarkStart w:id="0" w:name="_GoBack"/>
      <w:bookmarkEnd w:id="0"/>
    </w:p>
    <w:p w14:paraId="604A80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kern w:val="2"/>
          <w:sz w:val="44"/>
          <w:szCs w:val="44"/>
          <w:u w:val="none" w:color="auto"/>
          <w:lang w:val="en-US" w:eastAsia="zh-CN" w:bidi="ar-SA"/>
        </w:rPr>
      </w:pPr>
      <w:r>
        <w:rPr>
          <w:rFonts w:hint="eastAsia" w:ascii="方正大标宋简体" w:hAnsi="方正大标宋简体" w:eastAsia="方正大标宋简体" w:cs="方正大标宋简体"/>
          <w:kern w:val="2"/>
          <w:sz w:val="44"/>
          <w:szCs w:val="44"/>
          <w:u w:val="none" w:color="auto"/>
          <w:lang w:val="en-US" w:eastAsia="zh-CN" w:bidi="ar-SA"/>
        </w:rPr>
        <w:t>全省商务系统行政执法免处罚清单</w:t>
      </w:r>
    </w:p>
    <w:tbl>
      <w:tblPr>
        <w:tblStyle w:val="5"/>
        <w:tblpPr w:leftFromText="180" w:rightFromText="180" w:vertAnchor="text" w:horzAnchor="page" w:tblpXSpec="center" w:tblpY="557"/>
        <w:tblOverlap w:val="never"/>
        <w:tblW w:w="14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085"/>
        <w:gridCol w:w="960"/>
        <w:gridCol w:w="1693"/>
        <w:gridCol w:w="1860"/>
        <w:gridCol w:w="5447"/>
        <w:gridCol w:w="1003"/>
        <w:gridCol w:w="870"/>
      </w:tblGrid>
      <w:tr w14:paraId="70F9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6C1369DC">
            <w:pPr>
              <w:keepNext w:val="0"/>
              <w:keepLines w:val="0"/>
              <w:widowControl/>
              <w:suppressLineNumbers w:val="0"/>
              <w:jc w:val="center"/>
              <w:textAlignment w:val="center"/>
              <w:rPr>
                <w:rFonts w:hint="eastAsia" w:ascii="方正大标宋简体" w:hAnsi="方正大标宋简体" w:eastAsia="方正大标宋简体" w:cs="方正大标宋简体"/>
                <w:kern w:val="2"/>
                <w:sz w:val="36"/>
                <w:szCs w:val="36"/>
                <w:u w:val="none" w:color="auto"/>
                <w:vertAlign w:val="baseline"/>
                <w:lang w:val="en-US" w:eastAsia="zh-CN" w:bidi="ar-SA"/>
              </w:rPr>
            </w:pPr>
            <w:r>
              <w:rPr>
                <w:rFonts w:hint="eastAsia" w:ascii="宋体" w:hAnsi="宋体" w:eastAsia="宋体" w:cs="宋体"/>
                <w:b/>
                <w:i w:val="0"/>
                <w:color w:val="000000"/>
                <w:kern w:val="0"/>
                <w:sz w:val="18"/>
                <w:szCs w:val="18"/>
                <w:u w:val="none"/>
                <w:lang w:val="en-US" w:eastAsia="zh-CN" w:bidi="ar"/>
              </w:rPr>
              <w:t>序号</w:t>
            </w:r>
          </w:p>
        </w:tc>
        <w:tc>
          <w:tcPr>
            <w:tcW w:w="2085" w:type="dxa"/>
            <w:noWrap w:val="0"/>
            <w:vAlign w:val="center"/>
          </w:tcPr>
          <w:p w14:paraId="40EE4BB3">
            <w:pPr>
              <w:keepNext w:val="0"/>
              <w:keepLines w:val="0"/>
              <w:widowControl/>
              <w:suppressLineNumbers w:val="0"/>
              <w:jc w:val="center"/>
              <w:textAlignment w:val="center"/>
              <w:rPr>
                <w:rFonts w:hint="eastAsia" w:ascii="方正大标宋简体" w:hAnsi="方正大标宋简体" w:eastAsia="方正大标宋简体" w:cs="方正大标宋简体"/>
                <w:kern w:val="2"/>
                <w:sz w:val="36"/>
                <w:szCs w:val="36"/>
                <w:u w:val="none" w:color="auto"/>
                <w:vertAlign w:val="baseline"/>
                <w:lang w:val="en-US" w:eastAsia="zh-CN" w:bidi="ar-SA"/>
              </w:rPr>
            </w:pPr>
            <w:r>
              <w:rPr>
                <w:rFonts w:hint="eastAsia" w:ascii="宋体" w:hAnsi="宋体" w:eastAsia="宋体" w:cs="宋体"/>
                <w:b/>
                <w:i w:val="0"/>
                <w:color w:val="000000"/>
                <w:kern w:val="0"/>
                <w:sz w:val="18"/>
                <w:szCs w:val="18"/>
                <w:u w:val="none"/>
                <w:lang w:val="en-US" w:eastAsia="zh-CN" w:bidi="ar"/>
              </w:rPr>
              <w:t>事项名称</w:t>
            </w:r>
          </w:p>
        </w:tc>
        <w:tc>
          <w:tcPr>
            <w:tcW w:w="960" w:type="dxa"/>
            <w:noWrap w:val="0"/>
            <w:vAlign w:val="center"/>
          </w:tcPr>
          <w:p w14:paraId="1562BF80">
            <w:pPr>
              <w:keepNext w:val="0"/>
              <w:keepLines w:val="0"/>
              <w:widowControl/>
              <w:suppressLineNumbers w:val="0"/>
              <w:jc w:val="center"/>
              <w:textAlignment w:val="center"/>
              <w:rPr>
                <w:rFonts w:hint="eastAsia" w:ascii="方正大标宋简体" w:hAnsi="方正大标宋简体" w:eastAsia="方正大标宋简体" w:cs="方正大标宋简体"/>
                <w:kern w:val="2"/>
                <w:sz w:val="36"/>
                <w:szCs w:val="36"/>
                <w:u w:val="none" w:color="auto"/>
                <w:vertAlign w:val="baseline"/>
                <w:lang w:val="en-US" w:eastAsia="zh-CN" w:bidi="ar-SA"/>
              </w:rPr>
            </w:pPr>
            <w:r>
              <w:rPr>
                <w:rFonts w:hint="eastAsia" w:ascii="宋体" w:hAnsi="宋体" w:eastAsia="宋体" w:cs="宋体"/>
                <w:b/>
                <w:i w:val="0"/>
                <w:color w:val="000000"/>
                <w:kern w:val="0"/>
                <w:sz w:val="18"/>
                <w:szCs w:val="18"/>
                <w:u w:val="none"/>
                <w:lang w:val="en-US" w:eastAsia="zh-CN" w:bidi="ar"/>
              </w:rPr>
              <w:t>基本编码</w:t>
            </w:r>
          </w:p>
        </w:tc>
        <w:tc>
          <w:tcPr>
            <w:tcW w:w="1693" w:type="dxa"/>
            <w:noWrap w:val="0"/>
            <w:vAlign w:val="center"/>
          </w:tcPr>
          <w:p w14:paraId="27A2F96A">
            <w:pPr>
              <w:keepNext w:val="0"/>
              <w:keepLines w:val="0"/>
              <w:widowControl/>
              <w:suppressLineNumbers w:val="0"/>
              <w:jc w:val="center"/>
              <w:textAlignment w:val="center"/>
              <w:rPr>
                <w:rFonts w:hint="eastAsia" w:ascii="方正大标宋简体" w:hAnsi="方正大标宋简体" w:eastAsia="方正大标宋简体" w:cs="方正大标宋简体"/>
                <w:kern w:val="2"/>
                <w:sz w:val="36"/>
                <w:szCs w:val="36"/>
                <w:u w:val="none" w:color="auto"/>
                <w:vertAlign w:val="baseline"/>
                <w:lang w:val="en-US" w:eastAsia="zh-CN" w:bidi="ar-SA"/>
              </w:rPr>
            </w:pPr>
            <w:r>
              <w:rPr>
                <w:rFonts w:hint="eastAsia" w:ascii="宋体" w:hAnsi="宋体" w:eastAsia="宋体" w:cs="宋体"/>
                <w:b/>
                <w:i w:val="0"/>
                <w:color w:val="000000"/>
                <w:kern w:val="0"/>
                <w:sz w:val="18"/>
                <w:szCs w:val="18"/>
                <w:u w:val="none"/>
                <w:lang w:val="en-US" w:eastAsia="zh-CN" w:bidi="ar"/>
              </w:rPr>
              <w:t>设定依据</w:t>
            </w:r>
          </w:p>
        </w:tc>
        <w:tc>
          <w:tcPr>
            <w:tcW w:w="1860" w:type="dxa"/>
            <w:noWrap w:val="0"/>
            <w:vAlign w:val="center"/>
          </w:tcPr>
          <w:p w14:paraId="7F217874">
            <w:pPr>
              <w:keepNext w:val="0"/>
              <w:keepLines w:val="0"/>
              <w:widowControl/>
              <w:suppressLineNumbers w:val="0"/>
              <w:jc w:val="center"/>
              <w:textAlignment w:val="center"/>
              <w:rPr>
                <w:rFonts w:hint="eastAsia" w:ascii="方正大标宋简体" w:hAnsi="方正大标宋简体" w:eastAsia="方正大标宋简体" w:cs="方正大标宋简体"/>
                <w:kern w:val="2"/>
                <w:sz w:val="36"/>
                <w:szCs w:val="36"/>
                <w:u w:val="none" w:color="auto"/>
                <w:vertAlign w:val="baseline"/>
                <w:lang w:val="en-US" w:eastAsia="zh-CN" w:bidi="ar-SA"/>
              </w:rPr>
            </w:pPr>
            <w:r>
              <w:rPr>
                <w:rFonts w:hint="eastAsia" w:ascii="宋体" w:hAnsi="宋体" w:eastAsia="宋体" w:cs="宋体"/>
                <w:b/>
                <w:i w:val="0"/>
                <w:color w:val="000000"/>
                <w:kern w:val="0"/>
                <w:sz w:val="18"/>
                <w:szCs w:val="18"/>
                <w:u w:val="none"/>
                <w:lang w:val="en-US" w:eastAsia="zh-CN" w:bidi="ar"/>
              </w:rPr>
              <w:t>适用情形</w:t>
            </w:r>
          </w:p>
        </w:tc>
        <w:tc>
          <w:tcPr>
            <w:tcW w:w="5447" w:type="dxa"/>
            <w:noWrap w:val="0"/>
            <w:vAlign w:val="center"/>
          </w:tcPr>
          <w:p w14:paraId="4B78D3A0">
            <w:pPr>
              <w:keepNext w:val="0"/>
              <w:keepLines w:val="0"/>
              <w:widowControl/>
              <w:suppressLineNumbers w:val="0"/>
              <w:jc w:val="center"/>
              <w:textAlignment w:val="center"/>
              <w:rPr>
                <w:rFonts w:hint="eastAsia" w:ascii="方正大标宋简体" w:hAnsi="方正大标宋简体" w:eastAsia="方正大标宋简体" w:cs="方正大标宋简体"/>
                <w:kern w:val="2"/>
                <w:sz w:val="36"/>
                <w:szCs w:val="36"/>
                <w:u w:val="none" w:color="auto"/>
                <w:vertAlign w:val="baseline"/>
                <w:lang w:val="en-US" w:eastAsia="zh-CN" w:bidi="ar-SA"/>
              </w:rPr>
            </w:pPr>
            <w:r>
              <w:rPr>
                <w:rFonts w:hint="eastAsia" w:ascii="宋体" w:hAnsi="宋体" w:eastAsia="宋体" w:cs="宋体"/>
                <w:b/>
                <w:i w:val="0"/>
                <w:color w:val="000000"/>
                <w:kern w:val="0"/>
                <w:sz w:val="18"/>
                <w:szCs w:val="18"/>
                <w:u w:val="none"/>
                <w:lang w:val="en-US" w:eastAsia="zh-CN" w:bidi="ar"/>
              </w:rPr>
              <w:t>免处罚依据</w:t>
            </w:r>
          </w:p>
        </w:tc>
        <w:tc>
          <w:tcPr>
            <w:tcW w:w="1003" w:type="dxa"/>
            <w:noWrap w:val="0"/>
            <w:vAlign w:val="center"/>
          </w:tcPr>
          <w:p w14:paraId="1716F885">
            <w:pPr>
              <w:keepNext w:val="0"/>
              <w:keepLines w:val="0"/>
              <w:widowControl/>
              <w:suppressLineNumbers w:val="0"/>
              <w:jc w:val="center"/>
              <w:textAlignment w:val="center"/>
              <w:rPr>
                <w:rFonts w:hint="eastAsia" w:ascii="方正大标宋简体" w:hAnsi="方正大标宋简体" w:eastAsia="方正大标宋简体" w:cs="方正大标宋简体"/>
                <w:kern w:val="2"/>
                <w:sz w:val="36"/>
                <w:szCs w:val="36"/>
                <w:u w:val="none" w:color="auto"/>
                <w:vertAlign w:val="baseline"/>
                <w:lang w:val="en-US" w:eastAsia="zh-CN" w:bidi="ar-SA"/>
              </w:rPr>
            </w:pPr>
            <w:r>
              <w:rPr>
                <w:rFonts w:hint="eastAsia" w:ascii="宋体" w:hAnsi="宋体" w:eastAsia="宋体" w:cs="宋体"/>
                <w:b/>
                <w:i w:val="0"/>
                <w:color w:val="000000"/>
                <w:kern w:val="0"/>
                <w:sz w:val="18"/>
                <w:szCs w:val="18"/>
                <w:u w:val="none"/>
                <w:lang w:val="en-US" w:eastAsia="zh-CN" w:bidi="ar"/>
              </w:rPr>
              <w:t>配套监管措施</w:t>
            </w:r>
          </w:p>
        </w:tc>
        <w:tc>
          <w:tcPr>
            <w:tcW w:w="870" w:type="dxa"/>
            <w:noWrap w:val="0"/>
            <w:vAlign w:val="center"/>
          </w:tcPr>
          <w:p w14:paraId="1760F465">
            <w:pPr>
              <w:keepNext w:val="0"/>
              <w:keepLines w:val="0"/>
              <w:widowControl/>
              <w:suppressLineNumbers w:val="0"/>
              <w:jc w:val="center"/>
              <w:textAlignment w:val="center"/>
              <w:rPr>
                <w:rFonts w:hint="eastAsia" w:ascii="方正大标宋简体" w:hAnsi="方正大标宋简体" w:eastAsia="方正大标宋简体" w:cs="方正大标宋简体"/>
                <w:kern w:val="2"/>
                <w:sz w:val="36"/>
                <w:szCs w:val="36"/>
                <w:u w:val="none" w:color="auto"/>
                <w:vertAlign w:val="baseline"/>
                <w:lang w:val="en-US" w:eastAsia="zh-CN" w:bidi="ar-SA"/>
              </w:rPr>
            </w:pPr>
            <w:r>
              <w:rPr>
                <w:rFonts w:hint="eastAsia" w:ascii="宋体" w:hAnsi="宋体" w:eastAsia="宋体" w:cs="宋体"/>
                <w:b/>
                <w:i w:val="0"/>
                <w:color w:val="000000"/>
                <w:kern w:val="0"/>
                <w:sz w:val="18"/>
                <w:szCs w:val="18"/>
                <w:u w:val="none"/>
                <w:lang w:val="en-US" w:eastAsia="zh-CN" w:bidi="ar"/>
              </w:rPr>
              <w:t>备注</w:t>
            </w:r>
          </w:p>
        </w:tc>
      </w:tr>
      <w:tr w14:paraId="1145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378DC190">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085" w:type="dxa"/>
            <w:noWrap w:val="0"/>
            <w:vAlign w:val="center"/>
          </w:tcPr>
          <w:p w14:paraId="4BDE0906">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对未在规定期限内办理单用途商业预付卡备案的行为的行政处罚</w:t>
            </w:r>
          </w:p>
        </w:tc>
        <w:tc>
          <w:tcPr>
            <w:tcW w:w="960" w:type="dxa"/>
            <w:noWrap w:val="0"/>
            <w:vAlign w:val="center"/>
          </w:tcPr>
          <w:p w14:paraId="7A8C5CA4">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440218001000</w:t>
            </w:r>
          </w:p>
        </w:tc>
        <w:tc>
          <w:tcPr>
            <w:tcW w:w="1693" w:type="dxa"/>
            <w:noWrap w:val="0"/>
            <w:vAlign w:val="center"/>
          </w:tcPr>
          <w:p w14:paraId="54658312">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《单用途商业预付卡管理办法（试行）》（商务部令2012年第9号，2016年修正）第七条、第十二条、第三十六条</w:t>
            </w:r>
          </w:p>
        </w:tc>
        <w:tc>
          <w:tcPr>
            <w:tcW w:w="1860" w:type="dxa"/>
            <w:noWrap w:val="0"/>
            <w:vAlign w:val="center"/>
          </w:tcPr>
          <w:p w14:paraId="48A651C8">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对在规定期限内未办理单用途预付卡备案，但在限期内改正的，不予行政处罚。</w:t>
            </w:r>
          </w:p>
        </w:tc>
        <w:tc>
          <w:tcPr>
            <w:tcW w:w="5447" w:type="dxa"/>
            <w:noWrap w:val="0"/>
            <w:vAlign w:val="center"/>
          </w:tcPr>
          <w:p w14:paraId="0280FEFD">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1.《行政处罚法》第三十三条　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2.《单用途商业预付卡管理办法（试行）》第三十六条  发卡企业违反本办法第七条规定的，由违法行为发生地县级以上地方人民政府商务主管部门责令限期改正；逾期仍不改正的，处以1万元以上3万元以下罚款。</w:t>
            </w:r>
          </w:p>
        </w:tc>
        <w:tc>
          <w:tcPr>
            <w:tcW w:w="1003" w:type="dxa"/>
            <w:noWrap w:val="0"/>
            <w:vAlign w:val="center"/>
          </w:tcPr>
          <w:p w14:paraId="404C9FEA">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加强教育、及时复查整改情况、加强日常检查</w:t>
            </w:r>
          </w:p>
        </w:tc>
        <w:tc>
          <w:tcPr>
            <w:tcW w:w="870" w:type="dxa"/>
            <w:noWrap w:val="0"/>
            <w:vAlign w:val="center"/>
          </w:tcPr>
          <w:p w14:paraId="01C36DAE">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实施层级为“市级、区县级"</w:t>
            </w:r>
          </w:p>
        </w:tc>
      </w:tr>
      <w:tr w14:paraId="37B0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176B415E">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085" w:type="dxa"/>
            <w:noWrap w:val="0"/>
            <w:vAlign w:val="center"/>
          </w:tcPr>
          <w:p w14:paraId="3E7EA9C9">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对报废机动车回收拆解企业出售的报废机动车“五大总成”及其他零部件不符合相关要求等行为的行政处罚</w:t>
            </w:r>
          </w:p>
        </w:tc>
        <w:tc>
          <w:tcPr>
            <w:tcW w:w="960" w:type="dxa"/>
            <w:noWrap w:val="0"/>
            <w:vAlign w:val="center"/>
          </w:tcPr>
          <w:p w14:paraId="042B035D">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440218005000</w:t>
            </w:r>
          </w:p>
        </w:tc>
        <w:tc>
          <w:tcPr>
            <w:tcW w:w="1693" w:type="dxa"/>
            <w:noWrap w:val="0"/>
            <w:vAlign w:val="center"/>
          </w:tcPr>
          <w:p w14:paraId="0E21FB2B">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1.《报废机动车回收管理办法》（2019年国务院令第715号）第十二条、第二十一条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2.《报废机动车回收管理办法实施细则》（商务部令2020年第2号）第二十八条、第二十九条第一款、第五十条</w:t>
            </w:r>
          </w:p>
        </w:tc>
        <w:tc>
          <w:tcPr>
            <w:tcW w:w="1860" w:type="dxa"/>
            <w:noWrap w:val="0"/>
            <w:vAlign w:val="center"/>
          </w:tcPr>
          <w:p w14:paraId="70D2E2D8">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对首次发现报废机动车回收拆解企业出售报废机动车“五大总成”以外的零部件没有标明“报废机动车回用件”，积极配合检查并及时改正的，不予行政处罚。</w:t>
            </w:r>
          </w:p>
        </w:tc>
        <w:tc>
          <w:tcPr>
            <w:tcW w:w="5447" w:type="dxa"/>
            <w:noWrap w:val="0"/>
            <w:vAlign w:val="center"/>
          </w:tcPr>
          <w:p w14:paraId="19609EC9">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1.《行政处罚法》第三十三条。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2.《报废机动车回收管理办法》第二十一条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一）出售不具备再制造条件的报废机动车“五大总成”；（二）出售不能继续使用的报废机动车“五大总成”以外的零部件；（三）出售的报废机动车“五大总成”以外的零部件未标明“报废机动车回用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3.《报废机动车回收管理办法实施细则》第五十条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tc>
        <w:tc>
          <w:tcPr>
            <w:tcW w:w="1003" w:type="dxa"/>
            <w:noWrap w:val="0"/>
            <w:vAlign w:val="center"/>
          </w:tcPr>
          <w:p w14:paraId="373FAB14">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加强教育、及时复查整改情况、加强日常检查</w:t>
            </w:r>
          </w:p>
        </w:tc>
        <w:tc>
          <w:tcPr>
            <w:tcW w:w="870" w:type="dxa"/>
            <w:noWrap w:val="0"/>
            <w:vAlign w:val="center"/>
          </w:tcPr>
          <w:p w14:paraId="0F23E6A4">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实施层级为“省级、市级、区县级"</w:t>
            </w:r>
          </w:p>
        </w:tc>
      </w:tr>
      <w:tr w14:paraId="2257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6FC4A353">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085" w:type="dxa"/>
            <w:noWrap w:val="0"/>
            <w:vAlign w:val="center"/>
          </w:tcPr>
          <w:p w14:paraId="7E2C9C36">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对报废机动车回收拆解企业未按照要求备案分支机构、分支机构拆解报废机动车行为的行政处罚</w:t>
            </w:r>
          </w:p>
        </w:tc>
        <w:tc>
          <w:tcPr>
            <w:tcW w:w="960" w:type="dxa"/>
            <w:noWrap w:val="0"/>
            <w:vAlign w:val="center"/>
          </w:tcPr>
          <w:p w14:paraId="38149844">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440218076000</w:t>
            </w:r>
          </w:p>
        </w:tc>
        <w:tc>
          <w:tcPr>
            <w:tcW w:w="1693" w:type="dxa"/>
            <w:noWrap w:val="0"/>
            <w:vAlign w:val="center"/>
          </w:tcPr>
          <w:p w14:paraId="2C084DF8">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1.《报废机动车回收管理办法实施细则》（商务部令2020年第2号）第十五条、第四十二条</w:t>
            </w:r>
          </w:p>
        </w:tc>
        <w:tc>
          <w:tcPr>
            <w:tcW w:w="1860" w:type="dxa"/>
            <w:noWrap w:val="0"/>
            <w:vAlign w:val="center"/>
          </w:tcPr>
          <w:p w14:paraId="10D0BDE3">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对首次发现回收拆解企业未按照要求备案分支机构，积极配合检查并及时改正的，不予行政处罚。</w:t>
            </w:r>
          </w:p>
        </w:tc>
        <w:tc>
          <w:tcPr>
            <w:tcW w:w="5447" w:type="dxa"/>
            <w:noWrap w:val="0"/>
            <w:vAlign w:val="center"/>
          </w:tcPr>
          <w:p w14:paraId="20D7A9CD">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1.《行政处罚法》第三十三条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2.《报废机动车回收管理办法实施细则》第四十二条 违反本细则第十五条第一款规定，回收拆解企业未按照要求备案分支机构的，由分支机构注册登记所在地县级以上地方商务主管部门责令改正，并处1万元以上3万元以下的罚款。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tc>
        <w:tc>
          <w:tcPr>
            <w:tcW w:w="1003" w:type="dxa"/>
            <w:noWrap w:val="0"/>
            <w:vAlign w:val="center"/>
          </w:tcPr>
          <w:p w14:paraId="70DB9C37">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加强教育、及时复查整改情况、加强日常检查</w:t>
            </w:r>
          </w:p>
        </w:tc>
        <w:tc>
          <w:tcPr>
            <w:tcW w:w="870" w:type="dxa"/>
            <w:noWrap w:val="0"/>
            <w:vAlign w:val="center"/>
          </w:tcPr>
          <w:p w14:paraId="2C5C29D3">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实施层级为“省级、市级、区县级"</w:t>
            </w:r>
          </w:p>
        </w:tc>
      </w:tr>
      <w:tr w14:paraId="51BE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5E48ECD9">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085" w:type="dxa"/>
            <w:noWrap w:val="0"/>
            <w:vAlign w:val="center"/>
          </w:tcPr>
          <w:p w14:paraId="58CA91C8">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对报废机动车回收拆解企业未按照国家有关规定及时向公安机关交通管理部门办理机动车注销登记，并将注销证明转交机动车所有人行为的行政处罚</w:t>
            </w:r>
          </w:p>
        </w:tc>
        <w:tc>
          <w:tcPr>
            <w:tcW w:w="960" w:type="dxa"/>
            <w:noWrap w:val="0"/>
            <w:vAlign w:val="center"/>
          </w:tcPr>
          <w:p w14:paraId="122422EB">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440218090000</w:t>
            </w:r>
          </w:p>
        </w:tc>
        <w:tc>
          <w:tcPr>
            <w:tcW w:w="1693" w:type="dxa"/>
            <w:noWrap w:val="0"/>
            <w:vAlign w:val="center"/>
          </w:tcPr>
          <w:p w14:paraId="455289DC">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1.《报废机动车回收管理办法》（2019年国务院令第715号）第九条第一款、第二十二条第一款；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2.《报废机动车回收管理办法实施细则》（商务部令2020年第2号）第十九条第二款、第四十四条。</w:t>
            </w:r>
          </w:p>
        </w:tc>
        <w:tc>
          <w:tcPr>
            <w:tcW w:w="1860" w:type="dxa"/>
            <w:noWrap w:val="0"/>
            <w:vAlign w:val="center"/>
          </w:tcPr>
          <w:p w14:paraId="491D2341">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对首次发现报废机动车回收拆解企业未按照国家有关规定及时向公安机关交通管理部门办理机动车注销登记、并将注销证明转交机动车所有人，积极配合检查并及时改正的，不予行政处罚。</w:t>
            </w:r>
          </w:p>
        </w:tc>
        <w:tc>
          <w:tcPr>
            <w:tcW w:w="5447" w:type="dxa"/>
            <w:noWrap w:val="0"/>
            <w:vAlign w:val="center"/>
          </w:tcPr>
          <w:p w14:paraId="1B8C87EC">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1.《行政处罚法》第三十三条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2.《报废机动车回收管理办法》第二十二条第一款  报废机动车回收企业对回收的报废机动车，未按照国家有关规定及时向公安机关交通管理部门办理注销登记并将注销证明转交机动车所有人的，由负责报废机动车回收管理的部门责令改正，可以处1万元以上5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3.《报废机动车回收管理办法实施细则》第四十四条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tc>
        <w:tc>
          <w:tcPr>
            <w:tcW w:w="1003" w:type="dxa"/>
            <w:noWrap w:val="0"/>
            <w:vAlign w:val="center"/>
          </w:tcPr>
          <w:p w14:paraId="4E5D4C46">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加强教育、及时复查整改情况、加强日常检查</w:t>
            </w:r>
          </w:p>
        </w:tc>
        <w:tc>
          <w:tcPr>
            <w:tcW w:w="870" w:type="dxa"/>
            <w:noWrap w:val="0"/>
            <w:vAlign w:val="center"/>
          </w:tcPr>
          <w:p w14:paraId="26C979A7">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实施层级为“市级、区县级"</w:t>
            </w:r>
          </w:p>
        </w:tc>
      </w:tr>
      <w:tr w14:paraId="10E9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2F66FECA">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085" w:type="dxa"/>
            <w:noWrap w:val="0"/>
            <w:vAlign w:val="center"/>
          </w:tcPr>
          <w:p w14:paraId="0D5DAF76">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对报废机动车回收拆解企业未按照要求建立报废机动车零部件销售台账并如实记录“五大总成”信息并上传信息系统行为的行政处罚</w:t>
            </w:r>
          </w:p>
        </w:tc>
        <w:tc>
          <w:tcPr>
            <w:tcW w:w="960" w:type="dxa"/>
            <w:noWrap w:val="0"/>
            <w:vAlign w:val="center"/>
          </w:tcPr>
          <w:p w14:paraId="59124107">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440218085000</w:t>
            </w:r>
          </w:p>
        </w:tc>
        <w:tc>
          <w:tcPr>
            <w:tcW w:w="1693" w:type="dxa"/>
            <w:noWrap w:val="0"/>
            <w:vAlign w:val="center"/>
          </w:tcPr>
          <w:p w14:paraId="7386BC7B">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 xml:space="preserve">1.《报废机动车回收管理办法》》（2019年国务院令第715号）第十三条第一款、第二十三条；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2.《报废机动车回收管理办法实施细则》（商务部令2020年第2号）第二十六条、第四十八条。</w:t>
            </w:r>
          </w:p>
        </w:tc>
        <w:tc>
          <w:tcPr>
            <w:tcW w:w="1860" w:type="dxa"/>
            <w:noWrap w:val="0"/>
            <w:vAlign w:val="center"/>
          </w:tcPr>
          <w:p w14:paraId="6BE4882C">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对首次发现报废机动车回收拆解企业未按照要求建立报废机动车零部件销售台账并如实记录“五大总成”信息并上传信息系统，积极配合检查并及时改正的，不予行政处罚。</w:t>
            </w:r>
          </w:p>
        </w:tc>
        <w:tc>
          <w:tcPr>
            <w:tcW w:w="5447" w:type="dxa"/>
            <w:noWrap w:val="0"/>
            <w:vAlign w:val="center"/>
          </w:tcPr>
          <w:p w14:paraId="0E8DC0D2">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1.《行政处罚法》第三十三条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2.《报废机动车回收管理办法》第二十三条 报废机动车回收企业未如实记录本企业回收的报废机动车“五大总成”等主要部件的数量、型号、流向等信息并上传至报废机动车回收信息系统的，由负责报废机动车回收管理的部门责令改正，并处1万元以上5万元以下的罚款；情节严重的，责令停业整顿。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3.《报废机动车回收管理办法实施细则》第四十八条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tc>
        <w:tc>
          <w:tcPr>
            <w:tcW w:w="1003" w:type="dxa"/>
            <w:noWrap w:val="0"/>
            <w:vAlign w:val="center"/>
          </w:tcPr>
          <w:p w14:paraId="6A6B4582">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加强教育、及时复查整改情况、加强日常检查</w:t>
            </w:r>
          </w:p>
        </w:tc>
        <w:tc>
          <w:tcPr>
            <w:tcW w:w="870" w:type="dxa"/>
            <w:noWrap w:val="0"/>
            <w:vAlign w:val="center"/>
          </w:tcPr>
          <w:p w14:paraId="405F506A">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实施层级为“市级、区县级"</w:t>
            </w:r>
          </w:p>
        </w:tc>
      </w:tr>
      <w:tr w14:paraId="5DCE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5F7E3C19">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085" w:type="dxa"/>
            <w:noWrap w:val="0"/>
            <w:vAlign w:val="center"/>
          </w:tcPr>
          <w:p w14:paraId="46AD090B">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报废机动车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行为的行政处罚</w:t>
            </w:r>
          </w:p>
        </w:tc>
        <w:tc>
          <w:tcPr>
            <w:tcW w:w="960" w:type="dxa"/>
            <w:noWrap w:val="0"/>
            <w:vAlign w:val="center"/>
          </w:tcPr>
          <w:p w14:paraId="2FE32C42">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440218087000</w:t>
            </w:r>
          </w:p>
        </w:tc>
        <w:tc>
          <w:tcPr>
            <w:tcW w:w="1693" w:type="dxa"/>
            <w:noWrap w:val="0"/>
            <w:vAlign w:val="center"/>
          </w:tcPr>
          <w:p w14:paraId="673AF748">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1.《报废机动车回收管理办法实施细则》（商务部令2020年第2号）第二十七条、第四十九条</w:t>
            </w:r>
          </w:p>
        </w:tc>
        <w:tc>
          <w:tcPr>
            <w:tcW w:w="1860" w:type="dxa"/>
            <w:noWrap w:val="0"/>
            <w:vAlign w:val="center"/>
          </w:tcPr>
          <w:p w14:paraId="559E61FA">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对首次发现报废机动车回收拆解企业未将报废新能源汽车车辆识别代号及动力蓄电池编码、数量、型号、流向等信息录入有关平台，积极配合检查及时改正的，不予行政处罚。</w:t>
            </w:r>
          </w:p>
        </w:tc>
        <w:tc>
          <w:tcPr>
            <w:tcW w:w="5447" w:type="dxa"/>
            <w:noWrap w:val="0"/>
            <w:vAlign w:val="center"/>
          </w:tcPr>
          <w:p w14:paraId="66934EA5">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1.《行政处罚法》第三十三条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2.《报废机动车回收管理办法实施细则》第四十九条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1003" w:type="dxa"/>
            <w:noWrap w:val="0"/>
            <w:vAlign w:val="center"/>
          </w:tcPr>
          <w:p w14:paraId="22AE8B85">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加强教育、及时复查整改情况、加强日常检查</w:t>
            </w:r>
          </w:p>
        </w:tc>
        <w:tc>
          <w:tcPr>
            <w:tcW w:w="870" w:type="dxa"/>
            <w:noWrap w:val="0"/>
            <w:vAlign w:val="center"/>
          </w:tcPr>
          <w:p w14:paraId="69070381">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实施层级为“市级、区县级"</w:t>
            </w:r>
          </w:p>
        </w:tc>
      </w:tr>
      <w:tr w14:paraId="50ED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3686528D">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085" w:type="dxa"/>
            <w:noWrap w:val="0"/>
            <w:vAlign w:val="center"/>
          </w:tcPr>
          <w:p w14:paraId="45957A34">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对拍卖企业举办拍卖活动，未按照《拍卖法》及相关法律、行政法规规定的日期进行公告、或者未在拍卖会前展示拍卖标的，为竞买人提供查看拍卖标的的条件并向竞买人提供有关资料等行为的行政处罚</w:t>
            </w:r>
          </w:p>
        </w:tc>
        <w:tc>
          <w:tcPr>
            <w:tcW w:w="960" w:type="dxa"/>
            <w:noWrap w:val="0"/>
            <w:vAlign w:val="center"/>
          </w:tcPr>
          <w:p w14:paraId="00A3FD5C">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440218014000</w:t>
            </w:r>
          </w:p>
        </w:tc>
        <w:tc>
          <w:tcPr>
            <w:tcW w:w="1693" w:type="dxa"/>
            <w:noWrap w:val="0"/>
            <w:vAlign w:val="center"/>
          </w:tcPr>
          <w:p w14:paraId="3F74A991">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1.《拍卖管理办法》（商务部令2004第24号,2019年修正）第二十五条、第二十六条、第四十二条</w:t>
            </w:r>
          </w:p>
        </w:tc>
        <w:tc>
          <w:tcPr>
            <w:tcW w:w="1860" w:type="dxa"/>
            <w:noWrap w:val="0"/>
            <w:vAlign w:val="center"/>
          </w:tcPr>
          <w:p w14:paraId="2D787830">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对首次发现拍卖企业未按照《拍卖法》及相关法律、行政法规规定的日期进行公告，且危害后果轻微并及时改正的，不予行政处罚。</w:t>
            </w:r>
          </w:p>
        </w:tc>
        <w:tc>
          <w:tcPr>
            <w:tcW w:w="5447" w:type="dxa"/>
            <w:noWrap w:val="0"/>
            <w:vAlign w:val="center"/>
          </w:tcPr>
          <w:p w14:paraId="3AAD850D">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1.《行政处罚法》第三十三条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2.《拍卖管理办法》第二十五条 拍卖企业举办拍卖活动，应当根据拍卖标的物的属性及拍卖的性质，按照《拍卖法》及相关法律、行政法规规定的日期进行公告。公告应当发布在拍卖标的所在地以及拍卖会举行地商务主管部门指定的发行量较大的报纸或其他有同等影响的媒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第二十六条 拍卖企业应当在拍卖会前展示拍卖标的，为竞买人提供查看拍卖标的的条件并向竞买人提供有关资料。展示时间应不少于2日，鲜活物品或其他不易保存的物品除外。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第四十二条 拍卖企业违反本办法第二十五条、第二十六条规定，拍卖前违规进行公告或展示的，由省级商务主管部门视情节轻重予以警告，责令改正，延期拍卖或处以1万元以下罚款。</w:t>
            </w:r>
          </w:p>
        </w:tc>
        <w:tc>
          <w:tcPr>
            <w:tcW w:w="1003" w:type="dxa"/>
            <w:noWrap w:val="0"/>
            <w:vAlign w:val="center"/>
          </w:tcPr>
          <w:p w14:paraId="2CAC434F">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加强教育、及时复查整改情况、加强日常检查</w:t>
            </w:r>
          </w:p>
        </w:tc>
        <w:tc>
          <w:tcPr>
            <w:tcW w:w="870" w:type="dxa"/>
            <w:noWrap w:val="0"/>
            <w:vAlign w:val="center"/>
          </w:tcPr>
          <w:p w14:paraId="2A94373C">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实施层级为“市级"</w:t>
            </w:r>
          </w:p>
        </w:tc>
      </w:tr>
      <w:tr w14:paraId="376E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5EF8A606">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085" w:type="dxa"/>
            <w:noWrap w:val="0"/>
            <w:vAlign w:val="center"/>
          </w:tcPr>
          <w:p w14:paraId="3846316E">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对外国投资者、外商投资企业未依法履行信息报告义务的行为的行政处罚</w:t>
            </w:r>
          </w:p>
        </w:tc>
        <w:tc>
          <w:tcPr>
            <w:tcW w:w="960" w:type="dxa"/>
            <w:noWrap w:val="0"/>
            <w:vAlign w:val="center"/>
          </w:tcPr>
          <w:p w14:paraId="7672C326">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440218044000</w:t>
            </w:r>
          </w:p>
        </w:tc>
        <w:tc>
          <w:tcPr>
            <w:tcW w:w="1693" w:type="dxa"/>
            <w:noWrap w:val="0"/>
            <w:vAlign w:val="center"/>
          </w:tcPr>
          <w:p w14:paraId="3EDF7B2D">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1.《中华人民共和国外商投资法》（2019年中华人民共和国主席令第26号）第三十四条第一款、第三十七条；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2.《外商投资信息报告办法》（商务部、市场监督管理总局令2019年第2号）第八条、第十九条第一款、第二款、第二十五条</w:t>
            </w:r>
          </w:p>
        </w:tc>
        <w:tc>
          <w:tcPr>
            <w:tcW w:w="1860" w:type="dxa"/>
            <w:noWrap w:val="0"/>
            <w:vAlign w:val="center"/>
          </w:tcPr>
          <w:p w14:paraId="3AD343D5">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外国投资者或者外商投资企业存在未报、错报、漏报，但在商务部门责令改正后于20个工作日内进行补报或更正的，不予行政处罚。</w:t>
            </w:r>
          </w:p>
        </w:tc>
        <w:tc>
          <w:tcPr>
            <w:tcW w:w="5447" w:type="dxa"/>
            <w:noWrap w:val="0"/>
            <w:vAlign w:val="center"/>
          </w:tcPr>
          <w:p w14:paraId="0BF9B0A6">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 xml:space="preserve">1.《行政处罚法》第三十三条。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2.《中华人民共和国外商投资法》第三十七条 外国投资者、外商投资企业违反本法规定，未按照外商投资信息报告制度的要求报送投资信息的，由商务主管部门责令限期改正；逾期不改正的，处十万元以上五十万元以下的罚款。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3.《外商投资信息报告办法》第二十五条　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一）外国投资者或者外商投资企业故意逃避履行信息报告义务，或在进行信息报告时隐瞒真实情况、提供误导性或虚假信息；（二）外国投资者或者外商投资企业就所属行业、是否涉及外商投资准入特别管理措施、企业投资者及其实际控制人等重要信息报送错误；（三）外国投资者或者外商投资企业未按照本办法要求报送投资信息，并因此受到行政处罚的，两年内再次违反本办法有关要求；（四）商务主管部门认定的其他严重情形。</w:t>
            </w:r>
          </w:p>
        </w:tc>
        <w:tc>
          <w:tcPr>
            <w:tcW w:w="1003" w:type="dxa"/>
            <w:noWrap w:val="0"/>
            <w:vAlign w:val="center"/>
          </w:tcPr>
          <w:p w14:paraId="34B39552">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通知检查对象于20个工作日内进行补报或更正，并明确告知补报或更正渠道。</w:t>
            </w:r>
          </w:p>
        </w:tc>
        <w:tc>
          <w:tcPr>
            <w:tcW w:w="870" w:type="dxa"/>
            <w:noWrap w:val="0"/>
            <w:vAlign w:val="center"/>
          </w:tcPr>
          <w:p w14:paraId="2AE030AE">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实施层级为“市级、区县级"</w:t>
            </w:r>
          </w:p>
        </w:tc>
      </w:tr>
      <w:tr w14:paraId="3AB1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11ADE18A">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085" w:type="dxa"/>
            <w:noWrap w:val="0"/>
            <w:vAlign w:val="center"/>
          </w:tcPr>
          <w:p w14:paraId="4ACDA97A">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对对外劳务合作企业未依照《对外劳务合作管理条例》规定缴存或者补足备用金的行为的行政处罚</w:t>
            </w:r>
          </w:p>
        </w:tc>
        <w:tc>
          <w:tcPr>
            <w:tcW w:w="960" w:type="dxa"/>
            <w:noWrap w:val="0"/>
            <w:vAlign w:val="center"/>
          </w:tcPr>
          <w:p w14:paraId="734B865A">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440218069000</w:t>
            </w:r>
          </w:p>
        </w:tc>
        <w:tc>
          <w:tcPr>
            <w:tcW w:w="1693" w:type="dxa"/>
            <w:noWrap w:val="0"/>
            <w:vAlign w:val="center"/>
          </w:tcPr>
          <w:p w14:paraId="56836DC4">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 .《对外劳务合作管理条例》（2012年国务院令第620号）第九条第一款、第十条第二款、第四十一条</w:t>
            </w:r>
          </w:p>
        </w:tc>
        <w:tc>
          <w:tcPr>
            <w:tcW w:w="1860" w:type="dxa"/>
            <w:noWrap w:val="0"/>
            <w:vAlign w:val="center"/>
          </w:tcPr>
          <w:p w14:paraId="687A59A8">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对对外劳务合作企业未在规定时间内按照《对外劳务合作管理条例》规定缴存或者补足备用金，但及时改正的，不予行政处罚。</w:t>
            </w:r>
          </w:p>
        </w:tc>
        <w:tc>
          <w:tcPr>
            <w:tcW w:w="5447" w:type="dxa"/>
            <w:noWrap w:val="0"/>
            <w:vAlign w:val="center"/>
          </w:tcPr>
          <w:p w14:paraId="0188A728">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1.《行政处罚法》第三十三条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2.《对外劳务合作管理条例》第四十一条　对外劳务合作企业未依照本条例规定缴存或者补足备用金的，由商务主管部门责令改正；拒不改正的，吊销其对外劳务合作经营资格证书。</w:t>
            </w:r>
          </w:p>
        </w:tc>
        <w:tc>
          <w:tcPr>
            <w:tcW w:w="1003" w:type="dxa"/>
            <w:noWrap w:val="0"/>
            <w:vAlign w:val="center"/>
          </w:tcPr>
          <w:p w14:paraId="390A2898">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加强教育、指导约谈</w:t>
            </w:r>
          </w:p>
        </w:tc>
        <w:tc>
          <w:tcPr>
            <w:tcW w:w="870" w:type="dxa"/>
            <w:noWrap w:val="0"/>
            <w:vAlign w:val="center"/>
          </w:tcPr>
          <w:p w14:paraId="65707496">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实施层级为“市级、区县级"</w:t>
            </w:r>
          </w:p>
        </w:tc>
      </w:tr>
      <w:tr w14:paraId="6FC4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0BBB0BDF">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085" w:type="dxa"/>
            <w:noWrap w:val="0"/>
            <w:vAlign w:val="center"/>
          </w:tcPr>
          <w:p w14:paraId="2DB79C8A">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对外劳务合作企业未安排劳务人员接受培训，组织劳务人员赴国外工作的；未依照《对外劳务合作管理条例》规定为劳务人员购买在国外工作期间的人身意外伤害保险的；未依照《对外劳务合作管理条例》规定安排随行管理人员的行为的行政处罚</w:t>
            </w:r>
          </w:p>
        </w:tc>
        <w:tc>
          <w:tcPr>
            <w:tcW w:w="960" w:type="dxa"/>
            <w:noWrap w:val="0"/>
            <w:vAlign w:val="center"/>
          </w:tcPr>
          <w:p w14:paraId="79AEA86B">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440218070000</w:t>
            </w:r>
          </w:p>
        </w:tc>
        <w:tc>
          <w:tcPr>
            <w:tcW w:w="1693" w:type="dxa"/>
            <w:noWrap w:val="0"/>
            <w:vAlign w:val="center"/>
          </w:tcPr>
          <w:p w14:paraId="66909791">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 .《对外劳务合作管理条例》（2012年国务院令第620号）第十二条第一款、第十三条、第十六条第二款、第四十二条</w:t>
            </w:r>
          </w:p>
        </w:tc>
        <w:tc>
          <w:tcPr>
            <w:tcW w:w="1860" w:type="dxa"/>
            <w:noWrap w:val="0"/>
            <w:vAlign w:val="center"/>
          </w:tcPr>
          <w:p w14:paraId="4E9667BB">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对对外劳务合作企业在限期内对《对外劳务合作管理条例》第四十二条的行为进行改正的情形，不予行政处罚。</w:t>
            </w:r>
          </w:p>
        </w:tc>
        <w:tc>
          <w:tcPr>
            <w:tcW w:w="5447" w:type="dxa"/>
            <w:noWrap w:val="0"/>
            <w:vAlign w:val="center"/>
          </w:tcPr>
          <w:p w14:paraId="217A8C2D">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1.《行政处罚法》第三十三条。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2.《对外劳务合作管理条例》第四十二条　对外劳务合作企业有下列情形之一的，由商务主管部门责令改正；拒不改正的，处5万元以上10万元以下的罚款，并对其主要负责人处1万元以上3万元以下的罚款：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（一）未安排劳务人员接受培训，组织劳务人员赴国外工作；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（二）未依照本条例规定为劳务人员购买在国外工作期间的人身意外伤害保险；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（三）未依照本条例规定安排随行管理人员。</w:t>
            </w:r>
          </w:p>
        </w:tc>
        <w:tc>
          <w:tcPr>
            <w:tcW w:w="1003" w:type="dxa"/>
            <w:noWrap w:val="0"/>
            <w:vAlign w:val="center"/>
          </w:tcPr>
          <w:p w14:paraId="31497B62">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加强教育、指导约谈</w:t>
            </w:r>
          </w:p>
        </w:tc>
        <w:tc>
          <w:tcPr>
            <w:tcW w:w="870" w:type="dxa"/>
            <w:noWrap w:val="0"/>
            <w:vAlign w:val="center"/>
          </w:tcPr>
          <w:p w14:paraId="549828AA">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实施层级为“市级、区县级"</w:t>
            </w:r>
          </w:p>
        </w:tc>
      </w:tr>
      <w:tr w14:paraId="5D03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446B4463">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2085" w:type="dxa"/>
            <w:noWrap w:val="0"/>
            <w:vAlign w:val="center"/>
          </w:tcPr>
          <w:p w14:paraId="7F545DE1">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对外劳务合作企业未将服务合同或者劳动合同、劳务合作合同副本以及劳务人员名单报商务主管部门备案的；组织劳务人员出境后，未将有关情况向中国驻用工项目所在国使馆、领馆报告，或者未依照《对外劳务合作管理条例》规定将随行管理人员名单报负责审批的商务主管部门备案的；未制定突发事件应急预案的；停止开展对外劳务合作，未将其对劳务人员的安排方案报商务主管部门备案；对外劳务合作企业拒不将服务合同或者劳动合同、劳务合作合同副本报商务主管部门备案，且合同未载明《对外劳务合作管理条例》规定的必备事项，或者在合同备案后拒不按照商务主管部门的要求补正合同必备事项的行为的行政处罚。</w:t>
            </w:r>
          </w:p>
        </w:tc>
        <w:tc>
          <w:tcPr>
            <w:tcW w:w="960" w:type="dxa"/>
            <w:noWrap w:val="0"/>
            <w:vAlign w:val="center"/>
          </w:tcPr>
          <w:p w14:paraId="423CD667">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440218072000</w:t>
            </w:r>
          </w:p>
        </w:tc>
        <w:tc>
          <w:tcPr>
            <w:tcW w:w="1693" w:type="dxa"/>
            <w:noWrap w:val="0"/>
            <w:vAlign w:val="center"/>
          </w:tcPr>
          <w:p w14:paraId="250542B3">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《对外劳务合作管理条例》（2012年国务院令第620号）第十四条第二款、第十六条第二款、第十七条、第十九条、第二十六条、第四十五条</w:t>
            </w:r>
          </w:p>
        </w:tc>
        <w:tc>
          <w:tcPr>
            <w:tcW w:w="1860" w:type="dxa"/>
            <w:noWrap w:val="0"/>
            <w:vAlign w:val="center"/>
          </w:tcPr>
          <w:p w14:paraId="579AA05E">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对外劳务合作企业未将服务合同或者劳动合同、劳务合作合同副本以及劳务人员名单报商务主管部门备案；组织劳务人员出境后，未将有关情况向中国驻用工项目所在国使馆、领馆报告，或者未依照本条例规定将随行管理人员名单报负责审批的商务主管部门备案；未制定突发事件应急预案；停止开展对外劳务合作，未将其对劳务人员的安排方案报商务主管部门备案，积极配合检查并及时改正的，不予行政处罚。</w:t>
            </w:r>
          </w:p>
        </w:tc>
        <w:tc>
          <w:tcPr>
            <w:tcW w:w="5447" w:type="dxa"/>
            <w:noWrap w:val="0"/>
            <w:vAlign w:val="center"/>
          </w:tcPr>
          <w:p w14:paraId="034F432B">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1.《行政处罚法》第三十三条。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2.《对外劳务合作管理条例》第四十五条　对外劳务合作企业有下列情形之一的，由商务主管部门责令改正；拒不改正的，处1万元以上2万元以下的罚款，并对其主要负责人处2000元以上5000元以下的罚款：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（一）未将服务合同或者劳动合同、劳务合作合同副本以及劳务人员名单报商务主管部门备案；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（二）组织劳务人员出境后，未将有关情况向中国驻用工项目所在国使馆、领馆报告，或者未依照本条例规定将随行管理人员名单报负责审批的商务主管部门备案；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（三）未制定突发事件应急预案；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（四）停止开展对外劳务合作，未将其对劳务人员的安排方案报商务主管部门备案。</w:t>
            </w:r>
          </w:p>
        </w:tc>
        <w:tc>
          <w:tcPr>
            <w:tcW w:w="1003" w:type="dxa"/>
            <w:noWrap w:val="0"/>
            <w:vAlign w:val="center"/>
          </w:tcPr>
          <w:p w14:paraId="5852E1A4">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加强教育、指导约谈</w:t>
            </w:r>
          </w:p>
        </w:tc>
        <w:tc>
          <w:tcPr>
            <w:tcW w:w="870" w:type="dxa"/>
            <w:noWrap w:val="0"/>
            <w:vAlign w:val="center"/>
          </w:tcPr>
          <w:p w14:paraId="58AE8415">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实施层级为“市级、区县级"</w:t>
            </w:r>
          </w:p>
        </w:tc>
      </w:tr>
    </w:tbl>
    <w:p w14:paraId="3C2EE0B5"/>
    <w:sectPr>
      <w:pgSz w:w="16838" w:h="11906" w:orient="landscape"/>
      <w:pgMar w:top="1644" w:right="1440" w:bottom="164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D017F90-2819-4536-9F41-B8226D7E7D4A}"/>
  </w:font>
  <w:font w:name="方正大标宋简体">
    <w:panose1 w:val="02000000000000000000"/>
    <w:charset w:val="86"/>
    <w:family w:val="script"/>
    <w:pitch w:val="default"/>
    <w:sig w:usb0="00000001" w:usb1="080E0000" w:usb2="00000000" w:usb3="00000000" w:csb0="00040000" w:csb1="00000000"/>
    <w:embedRegular r:id="rId2" w:fontKey="{C879C364-1C53-40FD-8540-408D12EEDD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mE0Yjk1YzNlNjE3YzcyODc0MWM4OGQ3OTE5MTMifQ=="/>
  </w:docVars>
  <w:rsids>
    <w:rsidRoot w:val="059E7704"/>
    <w:rsid w:val="059E7704"/>
    <w:rsid w:val="6447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cs="Times New Roman"/>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5937</Words>
  <Characters>6175</Characters>
  <Lines>0</Lines>
  <Paragraphs>0</Paragraphs>
  <TotalTime>0</TotalTime>
  <ScaleCrop>false</ScaleCrop>
  <LinksUpToDate>false</LinksUpToDate>
  <CharactersWithSpaces>6274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2024-10-11T09:02:00Z</dcterms:created>
  <dc:creator>陈晓凤</dc:creator>
  <cp:lastModifiedBy>陈晓凤</cp:lastModifiedBy>
  <dcterms:modified xsi:type="dcterms:W3CDTF">2024-10-11T09:13:14Z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E925076D7F8E4E97843A1F5BF812E85D_11</vt:lpwstr>
  </property>
</Properties>
</file>